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DBF4" w14:textId="77777777" w:rsidR="00E10898" w:rsidRPr="00914771" w:rsidRDefault="00E10898" w:rsidP="00914771">
      <w:pPr>
        <w:jc w:val="both"/>
        <w:rPr>
          <w:rFonts w:ascii="Times New Roman" w:hAnsi="Times New Roman"/>
          <w:b w:val="0"/>
          <w:bCs w:val="0"/>
          <w:sz w:val="22"/>
          <w:szCs w:val="22"/>
        </w:rPr>
      </w:pPr>
    </w:p>
    <w:p w14:paraId="19CFB046" w14:textId="77777777" w:rsidR="00E10898" w:rsidRPr="00006559" w:rsidRDefault="00E10898" w:rsidP="00914771">
      <w:pPr>
        <w:jc w:val="both"/>
        <w:rPr>
          <w:rFonts w:ascii="Times New Roman" w:eastAsia="Calibri" w:hAnsi="Times New Roman"/>
          <w:b w:val="0"/>
          <w:bCs w:val="0"/>
          <w:color w:val="222222"/>
          <w:kern w:val="2"/>
          <w:sz w:val="22"/>
          <w:szCs w:val="22"/>
          <w:lang w:eastAsia="fr-FR"/>
          <w14:ligatures w14:val="standardContextual"/>
        </w:rPr>
      </w:pPr>
      <w:r w:rsidRPr="00006559">
        <w:rPr>
          <w:rFonts w:ascii="Times New Roman" w:eastAsia="Calibri" w:hAnsi="Times New Roman"/>
          <w:b w:val="0"/>
          <w:bCs w:val="0"/>
          <w:color w:val="000000"/>
          <w:kern w:val="2"/>
          <w:sz w:val="22"/>
          <w:szCs w:val="22"/>
          <w:lang w:eastAsia="fr-FR"/>
          <w14:ligatures w14:val="standardContextual"/>
        </w:rPr>
        <w:t xml:space="preserve">38ème Conférence de la Société Internationale de Sociologie des Religions </w:t>
      </w:r>
      <w:bookmarkStart w:id="0" w:name="m_-8390008233790848037__Hlk182144414"/>
      <w:r w:rsidRPr="00006559">
        <w:rPr>
          <w:rFonts w:ascii="Times New Roman" w:eastAsia="Calibri" w:hAnsi="Times New Roman"/>
          <w:b w:val="0"/>
          <w:bCs w:val="0"/>
          <w:color w:val="222222"/>
          <w:kern w:val="2"/>
          <w:sz w:val="22"/>
          <w:szCs w:val="22"/>
          <w:lang w:eastAsia="fr-FR"/>
          <w14:ligatures w14:val="standardContextual"/>
        </w:rPr>
        <w:t xml:space="preserve">Religion, </w:t>
      </w:r>
    </w:p>
    <w:p w14:paraId="3384ECAB" w14:textId="21D4414E" w:rsidR="00E10898" w:rsidRPr="00006559" w:rsidRDefault="00E10898" w:rsidP="00914771">
      <w:pPr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006559">
        <w:rPr>
          <w:rFonts w:ascii="Times New Roman" w:eastAsia="Calibri" w:hAnsi="Times New Roman"/>
          <w:b w:val="0"/>
          <w:bCs w:val="0"/>
          <w:color w:val="222222"/>
          <w:kern w:val="2"/>
          <w:sz w:val="22"/>
          <w:szCs w:val="22"/>
          <w:lang w:eastAsia="fr-FR"/>
          <w14:ligatures w14:val="standardContextual"/>
        </w:rPr>
        <w:t>« </w:t>
      </w:r>
      <w:r w:rsidRPr="00006559">
        <w:rPr>
          <w:rFonts w:ascii="Times New Roman" w:eastAsia="Calibri" w:hAnsi="Times New Roman"/>
          <w:color w:val="222222"/>
          <w:kern w:val="2"/>
          <w:sz w:val="22"/>
          <w:szCs w:val="22"/>
          <w:lang w:eastAsia="fr-FR"/>
          <w14:ligatures w14:val="standardContextual"/>
        </w:rPr>
        <w:t>Migration et conflits </w:t>
      </w:r>
      <w:bookmarkEnd w:id="0"/>
      <w:r w:rsidRPr="00006559">
        <w:rPr>
          <w:rFonts w:ascii="Times New Roman" w:eastAsia="Calibri" w:hAnsi="Times New Roman"/>
          <w:color w:val="000000"/>
          <w:kern w:val="2"/>
          <w:sz w:val="22"/>
          <w:szCs w:val="22"/>
          <w:lang w:eastAsia="fr-FR"/>
          <w14:ligatures w14:val="standardContextual"/>
        </w:rPr>
        <w:t>dans les sociétés polarisées</w:t>
      </w:r>
      <w:r w:rsidRPr="00006559">
        <w:rPr>
          <w:rFonts w:ascii="Times New Roman" w:eastAsia="Calibri" w:hAnsi="Times New Roman"/>
          <w:b w:val="0"/>
          <w:bCs w:val="0"/>
          <w:color w:val="000000"/>
          <w:kern w:val="2"/>
          <w:sz w:val="22"/>
          <w:szCs w:val="22"/>
          <w:lang w:eastAsia="fr-FR"/>
          <w14:ligatures w14:val="standardContextual"/>
        </w:rPr>
        <w:t> » - 3 juillet, 2025 - Kaunas (Lituanie)</w:t>
      </w:r>
    </w:p>
    <w:p w14:paraId="06CC21C5" w14:textId="77777777" w:rsidR="00006559" w:rsidRDefault="00006559" w:rsidP="00914771">
      <w:pPr>
        <w:jc w:val="both"/>
        <w:rPr>
          <w:rFonts w:ascii="Times New Roman" w:hAnsi="Times New Roman"/>
          <w:b w:val="0"/>
          <w:bCs w:val="0"/>
          <w:sz w:val="22"/>
          <w:szCs w:val="22"/>
        </w:rPr>
      </w:pPr>
    </w:p>
    <w:p w14:paraId="7B09DB2D" w14:textId="77777777" w:rsidR="00006559" w:rsidRPr="00006559" w:rsidRDefault="00006559" w:rsidP="00006559">
      <w:pPr>
        <w:rPr>
          <w:rFonts w:ascii="Times New Roman" w:hAnsi="Times New Roman"/>
          <w:b w:val="0"/>
          <w:bCs w:val="0"/>
          <w:sz w:val="22"/>
          <w:szCs w:val="22"/>
        </w:rPr>
      </w:pPr>
      <w:r w:rsidRPr="00006559">
        <w:rPr>
          <w:rFonts w:ascii="Times New Roman" w:hAnsi="Times New Roman"/>
          <w:sz w:val="22"/>
          <w:szCs w:val="22"/>
        </w:rPr>
        <w:t>Organisateur de la session:</w:t>
      </w:r>
    </w:p>
    <w:p w14:paraId="442A5591" w14:textId="77777777" w:rsidR="00006559" w:rsidRPr="00006559" w:rsidRDefault="00006559" w:rsidP="00006559">
      <w:pPr>
        <w:ind w:left="709"/>
        <w:rPr>
          <w:rFonts w:ascii="Times New Roman" w:hAnsi="Times New Roman"/>
          <w:b w:val="0"/>
          <w:bCs w:val="0"/>
          <w:sz w:val="22"/>
          <w:szCs w:val="22"/>
        </w:rPr>
      </w:pPr>
      <w:r w:rsidRPr="00006559">
        <w:rPr>
          <w:rFonts w:ascii="Times New Roman" w:hAnsi="Times New Roman"/>
          <w:b w:val="0"/>
          <w:bCs w:val="0"/>
          <w:sz w:val="22"/>
          <w:szCs w:val="22"/>
        </w:rPr>
        <w:t xml:space="preserve">Nader </w:t>
      </w:r>
      <w:proofErr w:type="spellStart"/>
      <w:r w:rsidRPr="00006559">
        <w:rPr>
          <w:rFonts w:ascii="Times New Roman" w:hAnsi="Times New Roman"/>
          <w:b w:val="0"/>
          <w:bCs w:val="0"/>
          <w:sz w:val="22"/>
          <w:szCs w:val="22"/>
        </w:rPr>
        <w:t>Vahabi</w:t>
      </w:r>
      <w:proofErr w:type="spellEnd"/>
      <w:r w:rsidRPr="00006559">
        <w:rPr>
          <w:rFonts w:ascii="Times New Roman" w:hAnsi="Times New Roman"/>
          <w:b w:val="0"/>
          <w:bCs w:val="0"/>
          <w:sz w:val="22"/>
          <w:szCs w:val="22"/>
        </w:rPr>
        <w:t xml:space="preserve"> -  </w:t>
      </w:r>
      <w:r w:rsidRPr="00006559">
        <w:rPr>
          <w:rFonts w:ascii="Times New Roman" w:hAnsi="Times New Roman"/>
          <w:b w:val="0"/>
          <w:bCs w:val="0"/>
          <w:i/>
          <w:iCs/>
          <w:sz w:val="22"/>
          <w:szCs w:val="22"/>
        </w:rPr>
        <w:t>LISST université de Toulouse et ICM Aubervilliers</w:t>
      </w:r>
    </w:p>
    <w:p w14:paraId="2AAA2DD5" w14:textId="77777777" w:rsidR="00006559" w:rsidRPr="00006559" w:rsidRDefault="00006559" w:rsidP="00006559">
      <w:pPr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006559">
        <w:rPr>
          <w:rFonts w:ascii="Times New Roman" w:hAnsi="Times New Roman"/>
          <w:b w:val="0"/>
          <w:bCs w:val="0"/>
          <w:sz w:val="22"/>
          <w:szCs w:val="22"/>
        </w:rPr>
        <w:t>Les transformations des représentations de la famille conventionnelle en migration</w:t>
      </w:r>
    </w:p>
    <w:p w14:paraId="4AF38B9F" w14:textId="77777777" w:rsidR="00006559" w:rsidRDefault="00006559" w:rsidP="00914771">
      <w:pPr>
        <w:jc w:val="both"/>
        <w:rPr>
          <w:rFonts w:ascii="Times New Roman" w:hAnsi="Times New Roman"/>
          <w:b w:val="0"/>
          <w:bCs w:val="0"/>
          <w:sz w:val="22"/>
          <w:szCs w:val="22"/>
        </w:rPr>
      </w:pPr>
    </w:p>
    <w:p w14:paraId="5D80A2A8" w14:textId="1D8916A9" w:rsidR="00006559" w:rsidRDefault="00006559" w:rsidP="00914771">
      <w:pPr>
        <w:jc w:val="both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Intervention Benoît Petit – Toulouse Jean-Jaurès</w:t>
      </w:r>
    </w:p>
    <w:p w14:paraId="6107C84E" w14:textId="77777777" w:rsidR="00006559" w:rsidRDefault="00006559" w:rsidP="00914771">
      <w:pPr>
        <w:jc w:val="both"/>
        <w:rPr>
          <w:rFonts w:ascii="Times New Roman" w:hAnsi="Times New Roman"/>
          <w:b w:val="0"/>
          <w:bCs w:val="0"/>
          <w:sz w:val="22"/>
          <w:szCs w:val="22"/>
        </w:rPr>
      </w:pPr>
    </w:p>
    <w:p w14:paraId="56288225" w14:textId="611986CA" w:rsidR="00E10898" w:rsidRPr="00006559" w:rsidRDefault="00914771" w:rsidP="00914771">
      <w:pPr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006559">
        <w:rPr>
          <w:rFonts w:ascii="Times New Roman" w:eastAsia="Calibri" w:hAnsi="Times New Roman"/>
          <w:b w:val="0"/>
          <w:bCs w:val="0"/>
          <w:i/>
          <w:color w:val="002060"/>
          <w:kern w:val="0"/>
          <w:sz w:val="22"/>
          <w:szCs w:val="22"/>
        </w:rPr>
        <w:t>« </w:t>
      </w:r>
      <w:r w:rsidRPr="00006559">
        <w:rPr>
          <w:rFonts w:ascii="Times New Roman" w:hAnsi="Times New Roman"/>
          <w:b w:val="0"/>
          <w:bCs w:val="0"/>
          <w:i/>
          <w:sz w:val="22"/>
          <w:szCs w:val="22"/>
        </w:rPr>
        <w:t>Resocialisation de la famille conventionnelle en relation avec la religion et la nationalité</w:t>
      </w:r>
    </w:p>
    <w:p w14:paraId="6B15A054" w14:textId="3F8348D7" w:rsidR="00E10898" w:rsidRPr="00006559" w:rsidRDefault="00E10898" w:rsidP="00006559">
      <w:pPr>
        <w:ind w:right="283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006559">
        <w:rPr>
          <w:rFonts w:ascii="Times New Roman" w:hAnsi="Times New Roman"/>
          <w:b w:val="0"/>
          <w:bCs w:val="0"/>
          <w:sz w:val="22"/>
          <w:szCs w:val="22"/>
        </w:rPr>
        <w:t>L’auteur analyse une vingtaine de cas particuliers de migrant.es.</w:t>
      </w:r>
      <w:r w:rsidR="00914771" w:rsidRPr="00006559">
        <w:rPr>
          <w:rFonts w:ascii="Times New Roman" w:hAnsi="Times New Roman"/>
          <w:b w:val="0"/>
          <w:bCs w:val="0"/>
          <w:sz w:val="22"/>
          <w:szCs w:val="22"/>
        </w:rPr>
        <w:t xml:space="preserve"> venant d’Afrique ou d’Asie .</w:t>
      </w:r>
    </w:p>
    <w:p w14:paraId="288DFAD9" w14:textId="356FF6C6" w:rsidR="00E10898" w:rsidRPr="00006559" w:rsidRDefault="00914771" w:rsidP="00006559">
      <w:pPr>
        <w:ind w:left="709" w:right="283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006559">
        <w:rPr>
          <w:rFonts w:ascii="Times New Roman" w:hAnsi="Times New Roman"/>
          <w:b w:val="0"/>
          <w:bCs w:val="0"/>
          <w:sz w:val="22"/>
          <w:szCs w:val="22"/>
        </w:rPr>
        <w:t>La famille e</w:t>
      </w:r>
      <w:r w:rsidRPr="00006559">
        <w:rPr>
          <w:rFonts w:ascii="Times New Roman" w:hAnsi="Times New Roman"/>
          <w:b w:val="0"/>
          <w:bCs w:val="0"/>
          <w:sz w:val="22"/>
          <w:szCs w:val="22"/>
        </w:rPr>
        <w:t>st un</w:t>
      </w:r>
      <w:r w:rsidRPr="00006559">
        <w:rPr>
          <w:rFonts w:ascii="Times New Roman" w:hAnsi="Times New Roman"/>
          <w:b w:val="0"/>
          <w:bCs w:val="0"/>
          <w:sz w:val="22"/>
          <w:szCs w:val="22"/>
        </w:rPr>
        <w:t xml:space="preserve"> indicateur</w:t>
      </w:r>
      <w:r w:rsidRPr="00006559">
        <w:rPr>
          <w:rFonts w:ascii="Times New Roman" w:hAnsi="Times New Roman"/>
          <w:b w:val="0"/>
          <w:bCs w:val="0"/>
          <w:sz w:val="22"/>
          <w:szCs w:val="22"/>
        </w:rPr>
        <w:t xml:space="preserve"> pertinent</w:t>
      </w:r>
      <w:r w:rsidRPr="00006559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006559">
        <w:rPr>
          <w:rFonts w:ascii="Times New Roman" w:hAnsi="Times New Roman"/>
          <w:sz w:val="22"/>
          <w:szCs w:val="22"/>
        </w:rPr>
        <w:t xml:space="preserve">de l’individualisation croissante du croire et </w:t>
      </w:r>
      <w:r w:rsidRPr="00006559">
        <w:rPr>
          <w:rFonts w:ascii="Times New Roman" w:hAnsi="Times New Roman"/>
          <w:sz w:val="22"/>
          <w:szCs w:val="22"/>
        </w:rPr>
        <w:t>d</w:t>
      </w:r>
      <w:r w:rsidRPr="00006559">
        <w:rPr>
          <w:rFonts w:ascii="Times New Roman" w:hAnsi="Times New Roman"/>
          <w:sz w:val="22"/>
          <w:szCs w:val="22"/>
        </w:rPr>
        <w:t xml:space="preserve">es formes de pratiques religieuses. </w:t>
      </w:r>
      <w:r w:rsidRPr="00006559">
        <w:rPr>
          <w:rFonts w:ascii="Times New Roman" w:hAnsi="Times New Roman"/>
          <w:b w:val="0"/>
          <w:bCs w:val="0"/>
          <w:sz w:val="22"/>
          <w:szCs w:val="22"/>
        </w:rPr>
        <w:t>L</w:t>
      </w:r>
      <w:r w:rsidR="00E10898" w:rsidRPr="00006559">
        <w:rPr>
          <w:rFonts w:ascii="Times New Roman" w:hAnsi="Times New Roman"/>
          <w:b w:val="0"/>
          <w:bCs w:val="0"/>
          <w:sz w:val="22"/>
          <w:szCs w:val="22"/>
        </w:rPr>
        <w:t xml:space="preserve">es réseaux </w:t>
      </w:r>
      <w:r w:rsidRPr="00006559">
        <w:rPr>
          <w:rFonts w:ascii="Times New Roman" w:hAnsi="Times New Roman"/>
          <w:b w:val="0"/>
          <w:bCs w:val="0"/>
          <w:sz w:val="22"/>
          <w:szCs w:val="22"/>
        </w:rPr>
        <w:t>apport</w:t>
      </w:r>
      <w:r w:rsidR="00E10898" w:rsidRPr="00006559">
        <w:rPr>
          <w:rFonts w:ascii="Times New Roman" w:hAnsi="Times New Roman"/>
          <w:b w:val="0"/>
          <w:bCs w:val="0"/>
          <w:sz w:val="22"/>
          <w:szCs w:val="22"/>
        </w:rPr>
        <w:t>ent un habitus particulier aux enfants puis aux jeunes lors de leur</w:t>
      </w:r>
      <w:r w:rsidR="00E10898" w:rsidRPr="00006559">
        <w:rPr>
          <w:rFonts w:ascii="Times New Roman" w:hAnsi="Times New Roman"/>
          <w:b w:val="0"/>
          <w:bCs w:val="0"/>
          <w:i/>
          <w:iCs/>
          <w:sz w:val="22"/>
          <w:szCs w:val="22"/>
        </w:rPr>
        <w:t xml:space="preserve"> </w:t>
      </w:r>
      <w:r w:rsidR="00E10898" w:rsidRPr="00006559">
        <w:rPr>
          <w:rFonts w:ascii="Times New Roman" w:hAnsi="Times New Roman"/>
          <w:b w:val="0"/>
          <w:bCs w:val="0"/>
          <w:sz w:val="22"/>
          <w:szCs w:val="22"/>
        </w:rPr>
        <w:t xml:space="preserve"> socialisation secondaire avant le départ. Les conditions de l’émigration renforcent ces inégalités </w:t>
      </w:r>
      <w:r w:rsidRPr="00006559">
        <w:rPr>
          <w:rFonts w:ascii="Times New Roman" w:hAnsi="Times New Roman"/>
          <w:b w:val="0"/>
          <w:bCs w:val="0"/>
          <w:sz w:val="22"/>
          <w:szCs w:val="22"/>
        </w:rPr>
        <w:t xml:space="preserve">et </w:t>
      </w:r>
      <w:r w:rsidR="00E10898" w:rsidRPr="00006559">
        <w:rPr>
          <w:rFonts w:ascii="Times New Roman" w:hAnsi="Times New Roman"/>
          <w:b w:val="0"/>
          <w:bCs w:val="0"/>
          <w:sz w:val="22"/>
          <w:szCs w:val="22"/>
        </w:rPr>
        <w:t xml:space="preserve"> transform</w:t>
      </w:r>
      <w:r w:rsidRPr="00006559">
        <w:rPr>
          <w:rFonts w:ascii="Times New Roman" w:hAnsi="Times New Roman"/>
          <w:b w:val="0"/>
          <w:bCs w:val="0"/>
          <w:sz w:val="22"/>
          <w:szCs w:val="22"/>
        </w:rPr>
        <w:t>en</w:t>
      </w:r>
      <w:r w:rsidR="00E10898" w:rsidRPr="00006559">
        <w:rPr>
          <w:rFonts w:ascii="Times New Roman" w:hAnsi="Times New Roman"/>
          <w:b w:val="0"/>
          <w:bCs w:val="0"/>
          <w:sz w:val="22"/>
          <w:szCs w:val="22"/>
        </w:rPr>
        <w:t>t l</w:t>
      </w:r>
      <w:r w:rsidRPr="00006559">
        <w:rPr>
          <w:rFonts w:ascii="Times New Roman" w:hAnsi="Times New Roman"/>
          <w:b w:val="0"/>
          <w:bCs w:val="0"/>
          <w:sz w:val="22"/>
          <w:szCs w:val="22"/>
        </w:rPr>
        <w:t>es</w:t>
      </w:r>
      <w:r w:rsidR="00E10898" w:rsidRPr="00006559">
        <w:rPr>
          <w:rFonts w:ascii="Times New Roman" w:hAnsi="Times New Roman"/>
          <w:b w:val="0"/>
          <w:bCs w:val="0"/>
          <w:sz w:val="22"/>
          <w:szCs w:val="22"/>
        </w:rPr>
        <w:t xml:space="preserve"> représentation</w:t>
      </w:r>
      <w:r w:rsidRPr="00006559">
        <w:rPr>
          <w:rFonts w:ascii="Times New Roman" w:hAnsi="Times New Roman"/>
          <w:b w:val="0"/>
          <w:bCs w:val="0"/>
          <w:sz w:val="22"/>
          <w:szCs w:val="22"/>
        </w:rPr>
        <w:t>s</w:t>
      </w:r>
      <w:r w:rsidR="00E10898" w:rsidRPr="00006559">
        <w:rPr>
          <w:rFonts w:ascii="Times New Roman" w:hAnsi="Times New Roman"/>
          <w:b w:val="0"/>
          <w:bCs w:val="0"/>
          <w:sz w:val="22"/>
          <w:szCs w:val="22"/>
        </w:rPr>
        <w:t xml:space="preserve"> de la famille conventionnelle</w:t>
      </w:r>
      <w:r w:rsidRPr="00006559">
        <w:rPr>
          <w:rFonts w:ascii="Times New Roman" w:hAnsi="Times New Roman"/>
          <w:b w:val="0"/>
          <w:bCs w:val="0"/>
          <w:sz w:val="22"/>
          <w:szCs w:val="22"/>
        </w:rPr>
        <w:t xml:space="preserve">. </w:t>
      </w:r>
      <w:r w:rsidRPr="00006559">
        <w:rPr>
          <w:rFonts w:ascii="Times New Roman" w:hAnsi="Times New Roman"/>
          <w:b w:val="0"/>
          <w:bCs w:val="0"/>
          <w:sz w:val="22"/>
          <w:szCs w:val="22"/>
        </w:rPr>
        <w:t> </w:t>
      </w:r>
      <w:r w:rsidRPr="00006559">
        <w:rPr>
          <w:rFonts w:ascii="Times New Roman" w:hAnsi="Times New Roman"/>
          <w:b w:val="0"/>
          <w:bCs w:val="0"/>
          <w:sz w:val="22"/>
          <w:szCs w:val="22"/>
        </w:rPr>
        <w:t>L</w:t>
      </w:r>
      <w:r w:rsidRPr="00006559">
        <w:rPr>
          <w:rFonts w:ascii="Times New Roman" w:hAnsi="Times New Roman"/>
          <w:b w:val="0"/>
          <w:bCs w:val="0"/>
          <w:sz w:val="22"/>
          <w:szCs w:val="22"/>
        </w:rPr>
        <w:t>es identités traditionnelles pré-données, préconstruites dans le temps de la formation et dans le ‘programme institutionnel’</w:t>
      </w:r>
      <w:r w:rsidRPr="00006559">
        <w:rPr>
          <w:rFonts w:ascii="Times New Roman" w:hAnsi="Times New Roman"/>
          <w:b w:val="0"/>
          <w:bCs w:val="0"/>
          <w:sz w:val="22"/>
          <w:szCs w:val="22"/>
        </w:rPr>
        <w:t xml:space="preserve"> cèdent la place</w:t>
      </w:r>
      <w:r w:rsidRPr="00006559">
        <w:rPr>
          <w:rFonts w:ascii="Times New Roman" w:hAnsi="Times New Roman"/>
          <w:b w:val="0"/>
          <w:bCs w:val="0"/>
          <w:sz w:val="22"/>
          <w:szCs w:val="22"/>
        </w:rPr>
        <w:t xml:space="preserve"> à des identités acquises, plus fluides, construites tout au long de la vie et dans une multiplicité de rôles, de ruptures, d’expériences, de voies possibles de réalisation de soi.</w:t>
      </w:r>
      <w:r w:rsidR="005F4C76" w:rsidRPr="005F4C76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F4C76" w:rsidRPr="00006559">
        <w:rPr>
          <w:rFonts w:ascii="Times New Roman" w:hAnsi="Times New Roman"/>
          <w:b w:val="0"/>
          <w:bCs w:val="0"/>
          <w:sz w:val="22"/>
          <w:szCs w:val="22"/>
        </w:rPr>
        <w:t>Une typologie de familles montre l’inégalité des facteurs religieux selon l’environnement social</w:t>
      </w:r>
      <w:r w:rsidR="005F4C76">
        <w:rPr>
          <w:rFonts w:ascii="Times New Roman" w:hAnsi="Times New Roman"/>
          <w:b w:val="0"/>
          <w:bCs w:val="0"/>
          <w:sz w:val="22"/>
          <w:szCs w:val="22"/>
        </w:rPr>
        <w:t xml:space="preserve"> du pays de départ et de celui d’arrivée surtout lorsque la religion majoritaire cède la place à une autre confession ou à la laïcité. Ainsi   </w:t>
      </w:r>
      <w:r w:rsidR="005F4C76" w:rsidRPr="00006559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1D71E0FE" w14:textId="77777777" w:rsidR="007C7234" w:rsidRPr="007C7234" w:rsidRDefault="007C7234" w:rsidP="007C7234">
      <w:pPr>
        <w:ind w:left="709" w:right="283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7C7234">
        <w:rPr>
          <w:rFonts w:ascii="Times New Roman" w:hAnsi="Times New Roman"/>
          <w:b w:val="0"/>
          <w:bCs w:val="0"/>
          <w:sz w:val="22"/>
          <w:szCs w:val="22"/>
        </w:rPr>
        <w:tab/>
        <w:t>*</w:t>
      </w:r>
      <w:r w:rsidRPr="007C7234">
        <w:rPr>
          <w:rFonts w:ascii="Times New Roman" w:hAnsi="Times New Roman"/>
          <w:b w:val="0"/>
          <w:bCs w:val="0"/>
          <w:sz w:val="22"/>
          <w:szCs w:val="22"/>
        </w:rPr>
        <w:tab/>
        <w:t>Le renforcement des pratiques</w:t>
      </w:r>
    </w:p>
    <w:p w14:paraId="34D13296" w14:textId="77777777" w:rsidR="007C7234" w:rsidRPr="007C7234" w:rsidRDefault="007C7234" w:rsidP="007C7234">
      <w:pPr>
        <w:ind w:left="709" w:right="283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7C7234">
        <w:rPr>
          <w:rFonts w:ascii="Times New Roman" w:hAnsi="Times New Roman"/>
          <w:b w:val="0"/>
          <w:bCs w:val="0"/>
          <w:sz w:val="22"/>
          <w:szCs w:val="22"/>
        </w:rPr>
        <w:tab/>
        <w:t>*</w:t>
      </w:r>
      <w:r w:rsidRPr="007C7234">
        <w:rPr>
          <w:rFonts w:ascii="Times New Roman" w:hAnsi="Times New Roman"/>
          <w:b w:val="0"/>
          <w:bCs w:val="0"/>
          <w:sz w:val="22"/>
          <w:szCs w:val="22"/>
        </w:rPr>
        <w:tab/>
        <w:t>L’abandon des pratiques</w:t>
      </w:r>
    </w:p>
    <w:p w14:paraId="588E74D0" w14:textId="77777777" w:rsidR="007C7234" w:rsidRPr="007C7234" w:rsidRDefault="007C7234" w:rsidP="007C7234">
      <w:pPr>
        <w:ind w:left="709" w:right="283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7C7234">
        <w:rPr>
          <w:rFonts w:ascii="Times New Roman" w:hAnsi="Times New Roman"/>
          <w:b w:val="0"/>
          <w:bCs w:val="0"/>
          <w:sz w:val="22"/>
          <w:szCs w:val="22"/>
        </w:rPr>
        <w:tab/>
        <w:t>*</w:t>
      </w:r>
      <w:r w:rsidRPr="007C7234">
        <w:rPr>
          <w:rFonts w:ascii="Times New Roman" w:hAnsi="Times New Roman"/>
          <w:b w:val="0"/>
          <w:bCs w:val="0"/>
          <w:sz w:val="22"/>
          <w:szCs w:val="22"/>
        </w:rPr>
        <w:tab/>
        <w:t xml:space="preserve">Un vagabondage puis conversion; </w:t>
      </w:r>
    </w:p>
    <w:p w14:paraId="1FAFC6F2" w14:textId="77777777" w:rsidR="005F4C76" w:rsidRDefault="005F4C76" w:rsidP="005F4C76">
      <w:pPr>
        <w:ind w:left="709" w:right="283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006559">
        <w:rPr>
          <w:rFonts w:ascii="Times New Roman" w:hAnsi="Times New Roman"/>
          <w:b w:val="0"/>
          <w:bCs w:val="0"/>
          <w:sz w:val="22"/>
          <w:szCs w:val="22"/>
        </w:rPr>
        <w:t>Les réseaux sociaux mobilisés dans le pays d’arrivée tempèrent les conditions d’insertion – voire d’assimilation -et contribuent au succès ou à l’échec des trajectoires familiales ou professionnelle.</w:t>
      </w:r>
    </w:p>
    <w:p w14:paraId="144552DE" w14:textId="77777777" w:rsidR="007C7234" w:rsidRPr="00006559" w:rsidRDefault="007C7234" w:rsidP="00006559">
      <w:pPr>
        <w:ind w:left="709" w:right="283"/>
        <w:jc w:val="both"/>
        <w:rPr>
          <w:rFonts w:ascii="Times New Roman" w:hAnsi="Times New Roman"/>
          <w:b w:val="0"/>
          <w:bCs w:val="0"/>
          <w:sz w:val="22"/>
          <w:szCs w:val="22"/>
        </w:rPr>
      </w:pPr>
    </w:p>
    <w:p w14:paraId="469977EF" w14:textId="2C73FF0A" w:rsidR="00C70022" w:rsidRDefault="00C70022">
      <w:pPr>
        <w:rPr>
          <w:rFonts w:ascii="Times New Roman" w:hAnsi="Times New Roman"/>
          <w:b w:val="0"/>
          <w:bCs w:val="0"/>
          <w:sz w:val="24"/>
          <w:szCs w:val="24"/>
        </w:rPr>
      </w:pPr>
    </w:p>
    <w:p w14:paraId="00C1EBBA" w14:textId="77777777" w:rsidR="000D7937" w:rsidRPr="00A110BB" w:rsidRDefault="000D7937">
      <w:pPr>
        <w:rPr>
          <w:rFonts w:ascii="Times New Roman" w:hAnsi="Times New Roman"/>
          <w:b w:val="0"/>
          <w:bCs w:val="0"/>
          <w:sz w:val="24"/>
          <w:szCs w:val="24"/>
        </w:rPr>
      </w:pPr>
    </w:p>
    <w:sectPr w:rsidR="000D7937" w:rsidRPr="00A11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DEAA" w14:textId="77777777" w:rsidR="00731A72" w:rsidRDefault="00731A72" w:rsidP="00DD54A5">
      <w:r>
        <w:separator/>
      </w:r>
    </w:p>
  </w:endnote>
  <w:endnote w:type="continuationSeparator" w:id="0">
    <w:p w14:paraId="7170302B" w14:textId="77777777" w:rsidR="00731A72" w:rsidRDefault="00731A72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B6DB" w14:textId="77777777" w:rsidR="00731A72" w:rsidRDefault="00731A72" w:rsidP="00DD54A5">
      <w:r>
        <w:separator/>
      </w:r>
    </w:p>
  </w:footnote>
  <w:footnote w:type="continuationSeparator" w:id="0">
    <w:p w14:paraId="2F7AB2ED" w14:textId="77777777" w:rsidR="00731A72" w:rsidRDefault="00731A72" w:rsidP="00DD5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BB"/>
    <w:rsid w:val="00006559"/>
    <w:rsid w:val="000D7937"/>
    <w:rsid w:val="0022236F"/>
    <w:rsid w:val="002F2289"/>
    <w:rsid w:val="00355AD3"/>
    <w:rsid w:val="004060BB"/>
    <w:rsid w:val="00494EE2"/>
    <w:rsid w:val="005F4C76"/>
    <w:rsid w:val="00615661"/>
    <w:rsid w:val="006E2D03"/>
    <w:rsid w:val="00704AE0"/>
    <w:rsid w:val="00731A72"/>
    <w:rsid w:val="00737465"/>
    <w:rsid w:val="007C7234"/>
    <w:rsid w:val="0081599B"/>
    <w:rsid w:val="0087693B"/>
    <w:rsid w:val="008D5F7D"/>
    <w:rsid w:val="00914771"/>
    <w:rsid w:val="00936C43"/>
    <w:rsid w:val="009D40D3"/>
    <w:rsid w:val="00A110BB"/>
    <w:rsid w:val="00A41FB3"/>
    <w:rsid w:val="00B17A61"/>
    <w:rsid w:val="00B85671"/>
    <w:rsid w:val="00BA2259"/>
    <w:rsid w:val="00BF590D"/>
    <w:rsid w:val="00C70022"/>
    <w:rsid w:val="00C744C7"/>
    <w:rsid w:val="00D247AA"/>
    <w:rsid w:val="00D6267E"/>
    <w:rsid w:val="00DD54A5"/>
    <w:rsid w:val="00E10898"/>
    <w:rsid w:val="00E2079F"/>
    <w:rsid w:val="00EB26DC"/>
    <w:rsid w:val="00F9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218D"/>
  <w15:chartTrackingRefBased/>
  <w15:docId w15:val="{75B65525-CF82-4275-BC85-E2362DD0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Times New Roman"/>
        <w:b/>
        <w:bCs/>
        <w:kern w:val="32"/>
        <w:sz w:val="28"/>
        <w:szCs w:val="28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C43"/>
  </w:style>
  <w:style w:type="paragraph" w:styleId="Titre1">
    <w:name w:val="heading 1"/>
    <w:basedOn w:val="Normal"/>
    <w:next w:val="Normal"/>
    <w:link w:val="Titre1Car"/>
    <w:uiPriority w:val="9"/>
    <w:qFormat/>
    <w:rsid w:val="00A11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1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10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10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10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10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10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10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10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1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1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10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A110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10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10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10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10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10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10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1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10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110B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tion">
    <w:name w:val="Quote"/>
    <w:basedOn w:val="Normal"/>
    <w:next w:val="Normal"/>
    <w:link w:val="CitationCar"/>
    <w:uiPriority w:val="29"/>
    <w:qFormat/>
    <w:rsid w:val="00A110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10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10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10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1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10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10BB"/>
    <w:rPr>
      <w:b w:val="0"/>
      <w:bCs w:val="0"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nhideWhenUsed/>
    <w:rsid w:val="00DD54A5"/>
    <w:rPr>
      <w:color w:val="0000FF"/>
      <w:u w:val="single"/>
    </w:rPr>
  </w:style>
  <w:style w:type="paragraph" w:styleId="Notedebasdepage">
    <w:name w:val="footnote text"/>
    <w:aliases w:val="Note de bas de page1"/>
    <w:basedOn w:val="Normal"/>
    <w:link w:val="NotedebasdepageCar"/>
    <w:semiHidden/>
    <w:unhideWhenUsed/>
    <w:rsid w:val="00DD54A5"/>
    <w:rPr>
      <w:rFonts w:ascii="Times New Roman" w:hAnsi="Times New Roman"/>
      <w:b w:val="0"/>
      <w:bCs w:val="0"/>
      <w:kern w:val="2"/>
      <w:sz w:val="20"/>
      <w:szCs w:val="20"/>
      <w14:ligatures w14:val="standardContextual"/>
    </w:rPr>
  </w:style>
  <w:style w:type="character" w:customStyle="1" w:styleId="NotedebasdepageCar">
    <w:name w:val="Note de bas de page Car"/>
    <w:aliases w:val="Note de bas de page1 Car"/>
    <w:basedOn w:val="Policepardfaut"/>
    <w:link w:val="Notedebasdepage"/>
    <w:semiHidden/>
    <w:rsid w:val="00DD54A5"/>
    <w:rPr>
      <w:rFonts w:ascii="Times New Roman" w:hAnsi="Times New Roman"/>
      <w:b w:val="0"/>
      <w:bCs w:val="0"/>
      <w:kern w:val="2"/>
      <w:sz w:val="20"/>
      <w:szCs w:val="20"/>
      <w14:ligatures w14:val="standardContextual"/>
    </w:rPr>
  </w:style>
  <w:style w:type="character" w:styleId="Appelnotedebasdep">
    <w:name w:val="footnote reference"/>
    <w:basedOn w:val="Policepardfaut"/>
    <w:unhideWhenUsed/>
    <w:rsid w:val="00DD54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Petit</dc:creator>
  <cp:keywords/>
  <dc:description/>
  <cp:lastModifiedBy>benoit Petit</cp:lastModifiedBy>
  <cp:revision>5</cp:revision>
  <cp:lastPrinted>2025-08-23T15:00:00Z</cp:lastPrinted>
  <dcterms:created xsi:type="dcterms:W3CDTF">2025-08-23T14:55:00Z</dcterms:created>
  <dcterms:modified xsi:type="dcterms:W3CDTF">2025-08-23T15:10:00Z</dcterms:modified>
</cp:coreProperties>
</file>