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2D5F6A" w:rsidRPr="000968F2" w:rsidTr="002D5F6A">
        <w:tc>
          <w:tcPr>
            <w:tcW w:w="5000" w:type="pct"/>
          </w:tcPr>
          <w:p w:rsidR="00370351" w:rsidRPr="000D32D0" w:rsidRDefault="00370351" w:rsidP="00BB18CF">
            <w:pPr>
              <w:jc w:val="center"/>
              <w:rPr>
                <w:rFonts w:ascii="Calibri" w:hAnsi="Calibri"/>
                <w:b/>
                <w:sz w:val="22"/>
                <w:szCs w:val="22"/>
              </w:rPr>
            </w:pPr>
          </w:p>
          <w:p w:rsidR="00370351" w:rsidRPr="000D32D0" w:rsidRDefault="00417C41" w:rsidP="00BB18CF">
            <w:pPr>
              <w:jc w:val="center"/>
              <w:rPr>
                <w:rFonts w:ascii="Calibri" w:hAnsi="Calibri"/>
                <w:b/>
                <w:sz w:val="22"/>
                <w:szCs w:val="22"/>
              </w:rPr>
            </w:pPr>
            <w:r w:rsidRPr="000D32D0">
              <w:rPr>
                <w:rFonts w:ascii="Calibri" w:hAnsi="Calibri"/>
                <w:b/>
                <w:sz w:val="22"/>
                <w:szCs w:val="22"/>
              </w:rPr>
              <w:t xml:space="preserve">PROPOSITION STAGE – MASTER </w:t>
            </w:r>
            <w:r w:rsidR="002D5F6A" w:rsidRPr="000D32D0">
              <w:rPr>
                <w:rFonts w:ascii="Calibri" w:hAnsi="Calibri"/>
                <w:b/>
                <w:sz w:val="22"/>
                <w:szCs w:val="22"/>
              </w:rPr>
              <w:t>2</w:t>
            </w:r>
          </w:p>
          <w:p w:rsidR="002D5F6A" w:rsidRPr="000D32D0" w:rsidRDefault="00F70714" w:rsidP="009A27E7">
            <w:pPr>
              <w:jc w:val="center"/>
              <w:rPr>
                <w:rFonts w:ascii="Calibri" w:hAnsi="Calibri"/>
                <w:b/>
                <w:i/>
                <w:sz w:val="22"/>
                <w:szCs w:val="22"/>
              </w:rPr>
            </w:pPr>
            <w:r>
              <w:rPr>
                <w:rFonts w:ascii="Calibri" w:hAnsi="Calibri"/>
                <w:b/>
                <w:i/>
                <w:sz w:val="22"/>
                <w:szCs w:val="22"/>
              </w:rPr>
              <w:t xml:space="preserve">Perceptions des actions liées au changement climatique </w:t>
            </w:r>
            <w:r w:rsidR="00572EAF" w:rsidRPr="000D32D0">
              <w:rPr>
                <w:rFonts w:ascii="Calibri" w:hAnsi="Calibri"/>
                <w:b/>
                <w:i/>
                <w:sz w:val="22"/>
                <w:szCs w:val="22"/>
              </w:rPr>
              <w:t>dans les Pyrénées</w:t>
            </w:r>
            <w:r>
              <w:rPr>
                <w:rFonts w:ascii="Calibri" w:hAnsi="Calibri"/>
                <w:b/>
                <w:i/>
                <w:sz w:val="22"/>
                <w:szCs w:val="22"/>
              </w:rPr>
              <w:t xml:space="preserve"> Ariégeoises : une analyse </w:t>
            </w:r>
            <w:bookmarkStart w:id="0" w:name="_GoBack"/>
            <w:bookmarkEnd w:id="0"/>
            <w:r>
              <w:rPr>
                <w:rFonts w:ascii="Calibri" w:hAnsi="Calibri"/>
                <w:b/>
                <w:i/>
                <w:sz w:val="22"/>
                <w:szCs w:val="22"/>
              </w:rPr>
              <w:t>en termes de justice environnementale</w:t>
            </w:r>
          </w:p>
          <w:p w:rsidR="00370351" w:rsidRPr="000D32D0" w:rsidRDefault="00370351" w:rsidP="009A27E7">
            <w:pPr>
              <w:jc w:val="center"/>
              <w:rPr>
                <w:rFonts w:ascii="Calibri" w:hAnsi="Calibri"/>
                <w:b/>
                <w:i/>
                <w:sz w:val="22"/>
                <w:szCs w:val="22"/>
              </w:rPr>
            </w:pPr>
          </w:p>
        </w:tc>
      </w:tr>
      <w:tr w:rsidR="002D5F6A" w:rsidRPr="00014347" w:rsidTr="002D5F6A">
        <w:tc>
          <w:tcPr>
            <w:tcW w:w="5000" w:type="pct"/>
          </w:tcPr>
          <w:p w:rsidR="00F70714" w:rsidRDefault="002D5F6A" w:rsidP="00F70714">
            <w:pPr>
              <w:rPr>
                <w:rFonts w:ascii="Calibri" w:hAnsi="Calibri"/>
                <w:b/>
                <w:sz w:val="22"/>
                <w:szCs w:val="22"/>
              </w:rPr>
            </w:pPr>
            <w:r w:rsidRPr="000D32D0">
              <w:rPr>
                <w:rFonts w:ascii="Calibri" w:hAnsi="Calibri"/>
                <w:b/>
                <w:sz w:val="22"/>
                <w:szCs w:val="22"/>
              </w:rPr>
              <w:t xml:space="preserve">CONTEXTE : </w:t>
            </w:r>
            <w:r w:rsidR="00E13784">
              <w:rPr>
                <w:rFonts w:ascii="Calibri" w:hAnsi="Calibri"/>
                <w:b/>
                <w:sz w:val="22"/>
                <w:szCs w:val="22"/>
              </w:rPr>
              <w:t xml:space="preserve">le </w:t>
            </w:r>
            <w:r w:rsidR="00F70714">
              <w:rPr>
                <w:rFonts w:ascii="Calibri" w:hAnsi="Calibri"/>
                <w:b/>
                <w:sz w:val="22"/>
                <w:szCs w:val="22"/>
              </w:rPr>
              <w:t xml:space="preserve">projet Just-Scapes, justice environnementale et changement climatique </w:t>
            </w:r>
          </w:p>
          <w:p w:rsidR="002D5F6A" w:rsidRPr="00014347" w:rsidRDefault="00E13784" w:rsidP="00404EBC">
            <w:pPr>
              <w:autoSpaceDE w:val="0"/>
              <w:autoSpaceDN w:val="0"/>
              <w:adjustRightInd w:val="0"/>
              <w:rPr>
                <w:rFonts w:ascii="Calibri" w:hAnsi="Calibri"/>
                <w:sz w:val="22"/>
                <w:szCs w:val="22"/>
              </w:rPr>
            </w:pPr>
            <w:r w:rsidRPr="00E13784">
              <w:rPr>
                <w:rFonts w:ascii="Calibri" w:hAnsi="Calibri"/>
                <w:sz w:val="22"/>
                <w:szCs w:val="22"/>
              </w:rPr>
              <w:t>L</w:t>
            </w:r>
            <w:r w:rsidR="00154CE2">
              <w:rPr>
                <w:rFonts w:ascii="Calibri" w:hAnsi="Calibri"/>
                <w:sz w:val="22"/>
                <w:szCs w:val="22"/>
              </w:rPr>
              <w:t xml:space="preserve">es objectifs de lutte contre le changement climatique </w:t>
            </w:r>
            <w:r w:rsidR="00DD6AA6">
              <w:rPr>
                <w:rFonts w:ascii="Calibri" w:hAnsi="Calibri"/>
                <w:sz w:val="22"/>
                <w:szCs w:val="22"/>
              </w:rPr>
              <w:t xml:space="preserve">conduisent les pays d’Europe à envisager des actions et politiques </w:t>
            </w:r>
            <w:r w:rsidR="00D31AD1">
              <w:rPr>
                <w:rFonts w:ascii="Calibri" w:hAnsi="Calibri"/>
                <w:sz w:val="22"/>
                <w:szCs w:val="22"/>
              </w:rPr>
              <w:t xml:space="preserve">dont pourraient résulter </w:t>
            </w:r>
            <w:r w:rsidR="00DD6AA6">
              <w:rPr>
                <w:rFonts w:ascii="Calibri" w:hAnsi="Calibri"/>
                <w:sz w:val="22"/>
                <w:szCs w:val="22"/>
              </w:rPr>
              <w:t>d’importantes transfor</w:t>
            </w:r>
            <w:r w:rsidR="00404EBC">
              <w:rPr>
                <w:rFonts w:ascii="Calibri" w:hAnsi="Calibri"/>
                <w:sz w:val="22"/>
                <w:szCs w:val="22"/>
              </w:rPr>
              <w:t>mations de l’usage des terres en milieu rural</w:t>
            </w:r>
            <w:r w:rsidR="00DD6AA6">
              <w:rPr>
                <w:rFonts w:ascii="Calibri" w:hAnsi="Calibri"/>
                <w:sz w:val="22"/>
                <w:szCs w:val="22"/>
              </w:rPr>
              <w:t>, comme la reforestation ou la réduction de l’élevage. Si de nombreuses études s’intéressent aux dimensions biophysiques de ces transformations</w:t>
            </w:r>
            <w:r w:rsidR="00042BB4">
              <w:rPr>
                <w:rFonts w:ascii="Calibri" w:hAnsi="Calibri"/>
                <w:sz w:val="22"/>
                <w:szCs w:val="22"/>
              </w:rPr>
              <w:t>, notamment</w:t>
            </w:r>
            <w:r w:rsidR="00DD6AA6">
              <w:rPr>
                <w:rFonts w:ascii="Calibri" w:hAnsi="Calibri"/>
                <w:sz w:val="22"/>
                <w:szCs w:val="22"/>
              </w:rPr>
              <w:t xml:space="preserve"> en termes de bilan carbone, il y a peu d’études concernant la </w:t>
            </w:r>
            <w:r w:rsidR="00F526CA">
              <w:rPr>
                <w:rFonts w:ascii="Calibri" w:hAnsi="Calibri"/>
                <w:sz w:val="22"/>
                <w:szCs w:val="22"/>
              </w:rPr>
              <w:t>façon dont ces transformations</w:t>
            </w:r>
            <w:r w:rsidR="00DD6AA6">
              <w:rPr>
                <w:rFonts w:ascii="Calibri" w:hAnsi="Calibri"/>
                <w:sz w:val="22"/>
                <w:szCs w:val="22"/>
              </w:rPr>
              <w:t xml:space="preserve"> </w:t>
            </w:r>
            <w:r w:rsidR="00F526CA">
              <w:rPr>
                <w:rFonts w:ascii="Calibri" w:hAnsi="Calibri"/>
                <w:sz w:val="22"/>
                <w:szCs w:val="22"/>
              </w:rPr>
              <w:t xml:space="preserve">sont </w:t>
            </w:r>
            <w:r w:rsidR="00DD6AA6">
              <w:rPr>
                <w:rFonts w:ascii="Calibri" w:hAnsi="Calibri"/>
                <w:sz w:val="22"/>
                <w:szCs w:val="22"/>
              </w:rPr>
              <w:t>perçues et vécues par les gens qui vivent dans ces territoires ruraux</w:t>
            </w:r>
            <w:r w:rsidR="00F526CA">
              <w:rPr>
                <w:rFonts w:ascii="Calibri" w:hAnsi="Calibri"/>
                <w:sz w:val="22"/>
                <w:szCs w:val="22"/>
              </w:rPr>
              <w:t>, et le rôle qu’ils pou</w:t>
            </w:r>
            <w:r w:rsidR="00042BB4">
              <w:rPr>
                <w:rFonts w:ascii="Calibri" w:hAnsi="Calibri"/>
                <w:sz w:val="22"/>
                <w:szCs w:val="22"/>
              </w:rPr>
              <w:t>rraient</w:t>
            </w:r>
            <w:r w:rsidR="00F526CA">
              <w:rPr>
                <w:rFonts w:ascii="Calibri" w:hAnsi="Calibri"/>
                <w:sz w:val="22"/>
                <w:szCs w:val="22"/>
              </w:rPr>
              <w:t xml:space="preserve"> jouer</w:t>
            </w:r>
            <w:r w:rsidR="00042BB4">
              <w:rPr>
                <w:rFonts w:ascii="Calibri" w:hAnsi="Calibri"/>
                <w:sz w:val="22"/>
                <w:szCs w:val="22"/>
              </w:rPr>
              <w:t xml:space="preserve"> dans l</w:t>
            </w:r>
            <w:r w:rsidR="00D31AD1">
              <w:rPr>
                <w:rFonts w:ascii="Calibri" w:hAnsi="Calibri"/>
                <w:sz w:val="22"/>
                <w:szCs w:val="22"/>
              </w:rPr>
              <w:t xml:space="preserve">eurs orientations. </w:t>
            </w:r>
            <w:r w:rsidR="00F526CA" w:rsidRPr="00014347">
              <w:rPr>
                <w:rFonts w:ascii="Calibri" w:hAnsi="Calibri"/>
                <w:sz w:val="22"/>
                <w:szCs w:val="22"/>
              </w:rPr>
              <w:t xml:space="preserve">Le projet Just-Scapes </w:t>
            </w:r>
            <w:r w:rsidR="00014347">
              <w:rPr>
                <w:rFonts w:ascii="Calibri" w:hAnsi="Calibri"/>
                <w:sz w:val="22"/>
                <w:szCs w:val="22"/>
              </w:rPr>
              <w:t>aborde c</w:t>
            </w:r>
            <w:r w:rsidR="00014347" w:rsidRPr="00014347">
              <w:rPr>
                <w:rFonts w:ascii="Calibri" w:hAnsi="Calibri"/>
                <w:sz w:val="22"/>
                <w:szCs w:val="22"/>
              </w:rPr>
              <w:t>es questions</w:t>
            </w:r>
            <w:r w:rsidR="00014347">
              <w:rPr>
                <w:rFonts w:ascii="Calibri" w:hAnsi="Calibri"/>
                <w:sz w:val="22"/>
                <w:szCs w:val="22"/>
              </w:rPr>
              <w:t xml:space="preserve"> sous l’angle de la justice environnementale. </w:t>
            </w:r>
            <w:r w:rsidR="00404EBC">
              <w:rPr>
                <w:rFonts w:ascii="Calibri" w:hAnsi="Calibri"/>
                <w:sz w:val="22"/>
                <w:szCs w:val="22"/>
              </w:rPr>
              <w:t xml:space="preserve">L’objectif de ce projet Européen </w:t>
            </w:r>
            <w:r w:rsidR="00014347">
              <w:rPr>
                <w:rFonts w:ascii="Calibri" w:hAnsi="Calibri"/>
                <w:sz w:val="22"/>
                <w:szCs w:val="22"/>
              </w:rPr>
              <w:t>est d’explorer</w:t>
            </w:r>
            <w:r w:rsidR="00042BB4">
              <w:rPr>
                <w:rFonts w:ascii="Calibri" w:hAnsi="Calibri"/>
                <w:sz w:val="22"/>
                <w:szCs w:val="22"/>
              </w:rPr>
              <w:t xml:space="preserve">, avec les acteurs concernés, </w:t>
            </w:r>
            <w:r w:rsidR="00014347">
              <w:rPr>
                <w:rFonts w:ascii="Calibri" w:hAnsi="Calibri"/>
                <w:sz w:val="22"/>
                <w:szCs w:val="22"/>
              </w:rPr>
              <w:t xml:space="preserve"> ce que pourraient être des « transformations justes » des territoires ruraux en Europe en réponse au changement climatique. </w:t>
            </w:r>
            <w:r w:rsidR="00404EBC">
              <w:rPr>
                <w:rFonts w:ascii="Calibri" w:hAnsi="Calibri"/>
                <w:sz w:val="22"/>
                <w:szCs w:val="22"/>
              </w:rPr>
              <w:t xml:space="preserve">Il </w:t>
            </w:r>
            <w:r w:rsidR="00014347">
              <w:rPr>
                <w:rFonts w:ascii="Calibri" w:hAnsi="Calibri"/>
                <w:sz w:val="22"/>
                <w:szCs w:val="22"/>
              </w:rPr>
              <w:t>s’appuie sur trois sites d’étude en France, en République tchèque et au Royaume-Uni.</w:t>
            </w:r>
            <w:r w:rsidR="00570EE7">
              <w:rPr>
                <w:rFonts w:ascii="Calibri" w:hAnsi="Calibri"/>
                <w:sz w:val="22"/>
                <w:szCs w:val="22"/>
              </w:rPr>
              <w:t xml:space="preserve"> En France, le projet est conduit en partenariat avec le Parc Naturel Régional </w:t>
            </w:r>
            <w:r w:rsidR="00545015">
              <w:rPr>
                <w:rFonts w:ascii="Calibri" w:hAnsi="Calibri"/>
                <w:sz w:val="22"/>
                <w:szCs w:val="22"/>
              </w:rPr>
              <w:t xml:space="preserve">(PNR) </w:t>
            </w:r>
            <w:r w:rsidR="00570EE7">
              <w:rPr>
                <w:rFonts w:ascii="Calibri" w:hAnsi="Calibri"/>
                <w:sz w:val="22"/>
                <w:szCs w:val="22"/>
              </w:rPr>
              <w:t xml:space="preserve">des Pyrénées Ariégeoises qui a initié depuis 2018 un Plan de Paysage de la Transition Energétique et Climatique.   </w:t>
            </w:r>
            <w:r w:rsidR="00014347">
              <w:rPr>
                <w:rFonts w:ascii="Calibri" w:hAnsi="Calibri"/>
                <w:sz w:val="22"/>
                <w:szCs w:val="22"/>
              </w:rPr>
              <w:t xml:space="preserve"> </w:t>
            </w:r>
            <w:r w:rsidR="00154CE2" w:rsidRPr="00014347">
              <w:rPr>
                <w:rFonts w:ascii="Calibri" w:hAnsi="Calibri"/>
                <w:sz w:val="22"/>
                <w:szCs w:val="22"/>
              </w:rPr>
              <w:t xml:space="preserve">   </w:t>
            </w:r>
          </w:p>
        </w:tc>
      </w:tr>
      <w:tr w:rsidR="002D5F6A" w:rsidRPr="000968F2" w:rsidTr="002D5F6A">
        <w:tc>
          <w:tcPr>
            <w:tcW w:w="5000" w:type="pct"/>
          </w:tcPr>
          <w:p w:rsidR="002D5F6A" w:rsidRPr="000D32D0" w:rsidRDefault="002D5F6A" w:rsidP="00BB18CF">
            <w:pPr>
              <w:rPr>
                <w:rFonts w:ascii="Calibri" w:hAnsi="Calibri"/>
                <w:b/>
                <w:sz w:val="22"/>
                <w:szCs w:val="22"/>
              </w:rPr>
            </w:pPr>
            <w:r w:rsidRPr="000D32D0">
              <w:rPr>
                <w:rFonts w:ascii="Calibri" w:hAnsi="Calibri"/>
                <w:b/>
                <w:sz w:val="22"/>
                <w:szCs w:val="22"/>
              </w:rPr>
              <w:t xml:space="preserve">OBJECTIFS DU STAGE  </w:t>
            </w:r>
          </w:p>
          <w:p w:rsidR="009C1989" w:rsidRPr="000D32D0" w:rsidRDefault="00570EE7" w:rsidP="00D31AD1">
            <w:pPr>
              <w:widowControl w:val="0"/>
              <w:suppressAutoHyphens/>
              <w:jc w:val="both"/>
              <w:rPr>
                <w:rFonts w:ascii="Calibri" w:hAnsi="Calibri"/>
                <w:sz w:val="22"/>
                <w:szCs w:val="22"/>
              </w:rPr>
            </w:pPr>
            <w:r>
              <w:rPr>
                <w:rFonts w:ascii="Calibri" w:hAnsi="Calibri"/>
                <w:sz w:val="22"/>
                <w:szCs w:val="22"/>
              </w:rPr>
              <w:t>Le stage s’insère dans la première phase de ce projet qui débute en décembre 2020.</w:t>
            </w:r>
            <w:r w:rsidR="00545015">
              <w:rPr>
                <w:rFonts w:ascii="Calibri" w:hAnsi="Calibri"/>
                <w:sz w:val="22"/>
                <w:szCs w:val="22"/>
              </w:rPr>
              <w:t xml:space="preserve"> </w:t>
            </w:r>
            <w:r w:rsidR="007844D2" w:rsidRPr="000D32D0">
              <w:rPr>
                <w:rFonts w:ascii="Calibri" w:hAnsi="Calibri"/>
                <w:sz w:val="22"/>
                <w:szCs w:val="22"/>
              </w:rPr>
              <w:t>L</w:t>
            </w:r>
            <w:r>
              <w:rPr>
                <w:rFonts w:ascii="Calibri" w:hAnsi="Calibri"/>
                <w:sz w:val="22"/>
                <w:szCs w:val="22"/>
              </w:rPr>
              <w:t xml:space="preserve">es objectifs du stage seront les suivants (i) </w:t>
            </w:r>
            <w:r w:rsidR="00545015">
              <w:rPr>
                <w:rFonts w:ascii="Calibri" w:hAnsi="Calibri"/>
                <w:sz w:val="22"/>
                <w:szCs w:val="22"/>
              </w:rPr>
              <w:t xml:space="preserve">lister les activités, projets ou politiques liés au changement climatique qui ont un impact potentiel ou avéré sur les paysages et l’usage des terres au sein du territoire du parc, (ii) identifier les acteurs concernés par ces </w:t>
            </w:r>
            <w:r w:rsidR="006C2395">
              <w:rPr>
                <w:rFonts w:ascii="Calibri" w:hAnsi="Calibri"/>
                <w:sz w:val="22"/>
                <w:szCs w:val="22"/>
              </w:rPr>
              <w:t xml:space="preserve">transformations, </w:t>
            </w:r>
            <w:r w:rsidR="00545015">
              <w:rPr>
                <w:rFonts w:ascii="Calibri" w:hAnsi="Calibri"/>
                <w:sz w:val="22"/>
                <w:szCs w:val="22"/>
              </w:rPr>
              <w:t xml:space="preserve">impactés ou capables de les influencer, (iii) analyser leurs perceptions de ces </w:t>
            </w:r>
            <w:r w:rsidR="006C2395">
              <w:rPr>
                <w:rFonts w:ascii="Calibri" w:hAnsi="Calibri"/>
                <w:sz w:val="22"/>
                <w:szCs w:val="22"/>
              </w:rPr>
              <w:t xml:space="preserve">transformations, </w:t>
            </w:r>
            <w:r w:rsidR="00545015">
              <w:rPr>
                <w:rFonts w:ascii="Calibri" w:hAnsi="Calibri"/>
                <w:sz w:val="22"/>
                <w:szCs w:val="22"/>
              </w:rPr>
              <w:t xml:space="preserve">notamment en termes de justice. </w:t>
            </w:r>
          </w:p>
        </w:tc>
      </w:tr>
      <w:tr w:rsidR="002D5F6A" w:rsidRPr="000968F2" w:rsidTr="002D5F6A">
        <w:tc>
          <w:tcPr>
            <w:tcW w:w="5000" w:type="pct"/>
          </w:tcPr>
          <w:p w:rsidR="002D5F6A" w:rsidRPr="000D32D0" w:rsidRDefault="002D5F6A" w:rsidP="00BB18CF">
            <w:pPr>
              <w:rPr>
                <w:rFonts w:ascii="Calibri" w:hAnsi="Calibri"/>
                <w:b/>
                <w:sz w:val="22"/>
                <w:szCs w:val="22"/>
              </w:rPr>
            </w:pPr>
            <w:r w:rsidRPr="000D32D0">
              <w:rPr>
                <w:rFonts w:ascii="Calibri" w:hAnsi="Calibri"/>
                <w:b/>
                <w:sz w:val="22"/>
                <w:szCs w:val="22"/>
              </w:rPr>
              <w:t>METHODOLOGIE</w:t>
            </w:r>
          </w:p>
          <w:p w:rsidR="002D5F6A" w:rsidRPr="002F6294" w:rsidRDefault="006C2395" w:rsidP="00042BB4">
            <w:pPr>
              <w:widowControl w:val="0"/>
              <w:suppressAutoHyphens/>
              <w:jc w:val="both"/>
              <w:rPr>
                <w:rFonts w:ascii="Calibri" w:hAnsi="Calibri"/>
                <w:sz w:val="22"/>
                <w:szCs w:val="22"/>
              </w:rPr>
            </w:pPr>
            <w:r>
              <w:rPr>
                <w:rFonts w:ascii="Calibri" w:hAnsi="Calibri"/>
                <w:sz w:val="22"/>
                <w:szCs w:val="22"/>
              </w:rPr>
              <w:t xml:space="preserve">Les principales étapes du stage seront les suivantes : (i) revue de la littérature grise et des documents disponibles, (ii) entretiens semi-dirigés </w:t>
            </w:r>
            <w:r w:rsidR="00042BB4">
              <w:rPr>
                <w:rFonts w:ascii="Calibri" w:hAnsi="Calibri"/>
                <w:sz w:val="22"/>
                <w:szCs w:val="22"/>
              </w:rPr>
              <w:t>auprès d’</w:t>
            </w:r>
            <w:r>
              <w:rPr>
                <w:rFonts w:ascii="Calibri" w:hAnsi="Calibri"/>
                <w:sz w:val="22"/>
                <w:szCs w:val="22"/>
              </w:rPr>
              <w:t>acteurs du territoire, (iii) analyse des entretiens</w:t>
            </w:r>
            <w:r w:rsidR="00F861F0">
              <w:rPr>
                <w:rFonts w:ascii="Calibri" w:hAnsi="Calibri"/>
                <w:sz w:val="22"/>
                <w:szCs w:val="22"/>
              </w:rPr>
              <w:t xml:space="preserve"> (analyse qualitative thématique </w:t>
            </w:r>
            <w:r>
              <w:rPr>
                <w:rFonts w:ascii="Calibri" w:hAnsi="Calibri"/>
                <w:sz w:val="22"/>
                <w:szCs w:val="22"/>
              </w:rPr>
              <w:t>à l’aide du logiciel N’Vivo</w:t>
            </w:r>
            <w:r w:rsidR="00F861F0">
              <w:rPr>
                <w:rFonts w:ascii="Calibri" w:hAnsi="Calibri"/>
                <w:sz w:val="22"/>
                <w:szCs w:val="22"/>
              </w:rPr>
              <w:t xml:space="preserve">). </w:t>
            </w:r>
            <w:r w:rsidR="00676CE7" w:rsidRPr="000D32D0">
              <w:rPr>
                <w:rFonts w:ascii="Calibri" w:hAnsi="Calibri"/>
                <w:sz w:val="22"/>
                <w:szCs w:val="22"/>
              </w:rPr>
              <w:t xml:space="preserve">Le(la) stagiaire travaillera en étroite collaboration avec ses encadrantes, qui l'accompagneront dans la collecte et l'analyse des données. </w:t>
            </w:r>
          </w:p>
        </w:tc>
      </w:tr>
      <w:tr w:rsidR="002D5F6A" w:rsidRPr="000968F2" w:rsidTr="002D5F6A">
        <w:tc>
          <w:tcPr>
            <w:tcW w:w="5000" w:type="pct"/>
          </w:tcPr>
          <w:p w:rsidR="002D5F6A" w:rsidRPr="000D32D0" w:rsidRDefault="002D5F6A" w:rsidP="00BB18CF">
            <w:pPr>
              <w:rPr>
                <w:rFonts w:ascii="Calibri" w:hAnsi="Calibri"/>
                <w:b/>
                <w:sz w:val="22"/>
                <w:szCs w:val="22"/>
              </w:rPr>
            </w:pPr>
            <w:r w:rsidRPr="000D32D0">
              <w:rPr>
                <w:rFonts w:ascii="Calibri" w:hAnsi="Calibri"/>
                <w:b/>
                <w:sz w:val="22"/>
                <w:szCs w:val="22"/>
              </w:rPr>
              <w:t>TRAVAUX ATTENDUS</w:t>
            </w:r>
          </w:p>
          <w:p w:rsidR="00F861F0" w:rsidRDefault="00F861F0" w:rsidP="00BB18CF">
            <w:pPr>
              <w:rPr>
                <w:rFonts w:ascii="Calibri" w:hAnsi="Calibri"/>
                <w:sz w:val="22"/>
                <w:szCs w:val="22"/>
              </w:rPr>
            </w:pPr>
            <w:r>
              <w:rPr>
                <w:rFonts w:ascii="Calibri" w:hAnsi="Calibri"/>
                <w:sz w:val="22"/>
                <w:szCs w:val="22"/>
              </w:rPr>
              <w:t xml:space="preserve">Synthèse de la documentation sur les projets </w:t>
            </w:r>
            <w:r w:rsidR="00682F21">
              <w:rPr>
                <w:rFonts w:ascii="Calibri" w:hAnsi="Calibri"/>
                <w:sz w:val="22"/>
                <w:szCs w:val="22"/>
              </w:rPr>
              <w:t xml:space="preserve">et politiques </w:t>
            </w:r>
            <w:r w:rsidR="00D31AD1">
              <w:rPr>
                <w:rFonts w:ascii="Calibri" w:hAnsi="Calibri"/>
                <w:sz w:val="22"/>
                <w:szCs w:val="22"/>
              </w:rPr>
              <w:t>pertinents pour l’étude</w:t>
            </w:r>
          </w:p>
          <w:p w:rsidR="00682F21" w:rsidRDefault="00682F21" w:rsidP="00BB18CF">
            <w:pPr>
              <w:rPr>
                <w:rFonts w:ascii="Calibri" w:hAnsi="Calibri"/>
                <w:sz w:val="22"/>
                <w:szCs w:val="22"/>
              </w:rPr>
            </w:pPr>
            <w:r>
              <w:rPr>
                <w:rFonts w:ascii="Calibri" w:hAnsi="Calibri"/>
                <w:sz w:val="22"/>
                <w:szCs w:val="22"/>
              </w:rPr>
              <w:t xml:space="preserve">Identification des acteurs </w:t>
            </w:r>
            <w:r w:rsidR="00D31AD1">
              <w:rPr>
                <w:rFonts w:ascii="Calibri" w:hAnsi="Calibri"/>
                <w:sz w:val="22"/>
                <w:szCs w:val="22"/>
              </w:rPr>
              <w:t xml:space="preserve">concernés </w:t>
            </w:r>
            <w:r>
              <w:rPr>
                <w:rFonts w:ascii="Calibri" w:hAnsi="Calibri"/>
                <w:sz w:val="22"/>
                <w:szCs w:val="22"/>
              </w:rPr>
              <w:t xml:space="preserve"> </w:t>
            </w:r>
          </w:p>
          <w:p w:rsidR="002D5F6A" w:rsidRPr="000D32D0" w:rsidRDefault="00F861F0" w:rsidP="00F861F0">
            <w:pPr>
              <w:rPr>
                <w:rFonts w:ascii="Calibri" w:hAnsi="Calibri"/>
                <w:sz w:val="22"/>
                <w:szCs w:val="22"/>
              </w:rPr>
            </w:pPr>
            <w:r>
              <w:rPr>
                <w:rFonts w:ascii="Calibri" w:hAnsi="Calibri"/>
                <w:sz w:val="22"/>
                <w:szCs w:val="22"/>
              </w:rPr>
              <w:t>Elaboration d’un guide d’entretien, c</w:t>
            </w:r>
            <w:r w:rsidR="00572EAF" w:rsidRPr="000D32D0">
              <w:rPr>
                <w:rFonts w:ascii="Calibri" w:hAnsi="Calibri"/>
                <w:sz w:val="22"/>
                <w:szCs w:val="22"/>
              </w:rPr>
              <w:t xml:space="preserve">onduite </w:t>
            </w:r>
            <w:r>
              <w:rPr>
                <w:rFonts w:ascii="Calibri" w:hAnsi="Calibri"/>
                <w:sz w:val="22"/>
                <w:szCs w:val="22"/>
              </w:rPr>
              <w:t xml:space="preserve">et analyse des </w:t>
            </w:r>
            <w:r w:rsidR="00572EAF" w:rsidRPr="000D32D0">
              <w:rPr>
                <w:rFonts w:ascii="Calibri" w:hAnsi="Calibri"/>
                <w:sz w:val="22"/>
                <w:szCs w:val="22"/>
              </w:rPr>
              <w:t>entretiens</w:t>
            </w:r>
            <w:r>
              <w:rPr>
                <w:rFonts w:ascii="Calibri" w:hAnsi="Calibri"/>
                <w:sz w:val="22"/>
                <w:szCs w:val="22"/>
              </w:rPr>
              <w:t xml:space="preserve">  </w:t>
            </w:r>
          </w:p>
          <w:p w:rsidR="00EF5388" w:rsidRPr="000D32D0" w:rsidRDefault="002D5F6A" w:rsidP="00BB18CF">
            <w:pPr>
              <w:rPr>
                <w:rFonts w:ascii="Calibri" w:hAnsi="Calibri"/>
                <w:sz w:val="22"/>
                <w:szCs w:val="22"/>
              </w:rPr>
            </w:pPr>
            <w:r w:rsidRPr="000D32D0">
              <w:rPr>
                <w:rFonts w:ascii="Calibri" w:hAnsi="Calibri"/>
                <w:sz w:val="22"/>
                <w:szCs w:val="22"/>
              </w:rPr>
              <w:t>Commun</w:t>
            </w:r>
            <w:r w:rsidR="00F861F0">
              <w:rPr>
                <w:rFonts w:ascii="Calibri" w:hAnsi="Calibri"/>
                <w:sz w:val="22"/>
                <w:szCs w:val="22"/>
              </w:rPr>
              <w:t>ication</w:t>
            </w:r>
            <w:r w:rsidR="00572EAF" w:rsidRPr="000D32D0">
              <w:rPr>
                <w:rFonts w:ascii="Calibri" w:hAnsi="Calibri"/>
                <w:sz w:val="22"/>
                <w:szCs w:val="22"/>
              </w:rPr>
              <w:t xml:space="preserve"> </w:t>
            </w:r>
            <w:r w:rsidR="00EF5388" w:rsidRPr="000D32D0">
              <w:rPr>
                <w:rFonts w:ascii="Calibri" w:hAnsi="Calibri"/>
                <w:sz w:val="22"/>
                <w:szCs w:val="22"/>
              </w:rPr>
              <w:t xml:space="preserve">des résultats au sein </w:t>
            </w:r>
            <w:r w:rsidR="006C2395">
              <w:rPr>
                <w:rFonts w:ascii="Calibri" w:hAnsi="Calibri"/>
                <w:sz w:val="22"/>
                <w:szCs w:val="22"/>
              </w:rPr>
              <w:t>du projet de recherche</w:t>
            </w:r>
            <w:r w:rsidR="00EF5388" w:rsidRPr="000D32D0">
              <w:rPr>
                <w:rFonts w:ascii="Calibri" w:hAnsi="Calibri"/>
                <w:sz w:val="22"/>
                <w:szCs w:val="22"/>
              </w:rPr>
              <w:t xml:space="preserve"> </w:t>
            </w:r>
          </w:p>
          <w:p w:rsidR="002F6294" w:rsidRPr="002F6294" w:rsidRDefault="00EF5388" w:rsidP="006C2395">
            <w:pPr>
              <w:rPr>
                <w:rFonts w:ascii="Calibri" w:hAnsi="Calibri"/>
                <w:sz w:val="22"/>
                <w:szCs w:val="22"/>
              </w:rPr>
            </w:pPr>
            <w:r w:rsidRPr="000D32D0">
              <w:rPr>
                <w:rFonts w:ascii="Calibri" w:hAnsi="Calibri"/>
                <w:sz w:val="22"/>
                <w:szCs w:val="22"/>
              </w:rPr>
              <w:t>R</w:t>
            </w:r>
            <w:r w:rsidR="00F861F0">
              <w:rPr>
                <w:rFonts w:ascii="Calibri" w:hAnsi="Calibri"/>
                <w:sz w:val="22"/>
                <w:szCs w:val="22"/>
              </w:rPr>
              <w:t>édaction d’un r</w:t>
            </w:r>
            <w:r w:rsidRPr="000D32D0">
              <w:rPr>
                <w:rFonts w:ascii="Calibri" w:hAnsi="Calibri"/>
                <w:sz w:val="22"/>
                <w:szCs w:val="22"/>
              </w:rPr>
              <w:t xml:space="preserve">apport de recherche </w:t>
            </w:r>
          </w:p>
        </w:tc>
      </w:tr>
      <w:tr w:rsidR="002D5F6A" w:rsidRPr="000968F2" w:rsidTr="002D5F6A">
        <w:tc>
          <w:tcPr>
            <w:tcW w:w="5000" w:type="pct"/>
          </w:tcPr>
          <w:p w:rsidR="002D5F6A" w:rsidRPr="000D32D0" w:rsidRDefault="00B416F6" w:rsidP="00BB18CF">
            <w:pPr>
              <w:rPr>
                <w:rFonts w:ascii="Calibri" w:hAnsi="Calibri"/>
                <w:b/>
                <w:sz w:val="22"/>
                <w:szCs w:val="22"/>
              </w:rPr>
            </w:pPr>
            <w:r>
              <w:rPr>
                <w:rFonts w:ascii="Calibri" w:hAnsi="Calibri"/>
                <w:b/>
                <w:sz w:val="22"/>
                <w:szCs w:val="22"/>
              </w:rPr>
              <w:t>CONDITIONS DE TRAVAIL</w:t>
            </w:r>
          </w:p>
          <w:p w:rsidR="00B416F6" w:rsidRDefault="002D5F6A" w:rsidP="00BB18CF">
            <w:pPr>
              <w:rPr>
                <w:rFonts w:ascii="Calibri" w:hAnsi="Calibri"/>
                <w:sz w:val="22"/>
                <w:szCs w:val="22"/>
              </w:rPr>
            </w:pPr>
            <w:r w:rsidRPr="000D32D0">
              <w:rPr>
                <w:rFonts w:ascii="Calibri" w:hAnsi="Calibri"/>
                <w:sz w:val="22"/>
                <w:szCs w:val="22"/>
              </w:rPr>
              <w:t>Durée</w:t>
            </w:r>
            <w:r w:rsidR="00B416F6">
              <w:rPr>
                <w:rFonts w:ascii="Calibri" w:hAnsi="Calibri"/>
                <w:sz w:val="22"/>
                <w:szCs w:val="22"/>
              </w:rPr>
              <w:t xml:space="preserve"> : </w:t>
            </w:r>
            <w:r w:rsidR="00F861F0">
              <w:rPr>
                <w:rFonts w:ascii="Calibri" w:hAnsi="Calibri"/>
                <w:sz w:val="22"/>
                <w:szCs w:val="22"/>
              </w:rPr>
              <w:t>6 mois (mars – août 2021</w:t>
            </w:r>
            <w:r w:rsidR="00B416F6">
              <w:rPr>
                <w:rFonts w:ascii="Calibri" w:hAnsi="Calibri"/>
                <w:sz w:val="22"/>
                <w:szCs w:val="22"/>
              </w:rPr>
              <w:t xml:space="preserve">, dates négociables) </w:t>
            </w:r>
          </w:p>
          <w:p w:rsidR="00B416F6" w:rsidRDefault="00B416F6" w:rsidP="00BB18CF">
            <w:pPr>
              <w:rPr>
                <w:rFonts w:ascii="Calibri" w:hAnsi="Calibri"/>
                <w:sz w:val="22"/>
                <w:szCs w:val="22"/>
              </w:rPr>
            </w:pPr>
            <w:r>
              <w:rPr>
                <w:rFonts w:ascii="Calibri" w:hAnsi="Calibri"/>
                <w:sz w:val="22"/>
                <w:szCs w:val="22"/>
              </w:rPr>
              <w:t xml:space="preserve">Rémunération selon les grilles de l’INRAE : </w:t>
            </w:r>
            <w:r w:rsidR="00844F53">
              <w:rPr>
                <w:rFonts w:ascii="Calibri" w:hAnsi="Calibri"/>
                <w:sz w:val="22"/>
                <w:szCs w:val="22"/>
              </w:rPr>
              <w:t>54</w:t>
            </w:r>
            <w:r w:rsidR="007019B7" w:rsidRPr="000D32D0">
              <w:rPr>
                <w:rFonts w:ascii="Calibri" w:hAnsi="Calibri"/>
                <w:sz w:val="22"/>
                <w:szCs w:val="22"/>
              </w:rPr>
              <w:t>0</w:t>
            </w:r>
            <w:r w:rsidR="002D5F6A" w:rsidRPr="000D32D0">
              <w:rPr>
                <w:rFonts w:ascii="Calibri" w:hAnsi="Calibri"/>
                <w:sz w:val="22"/>
                <w:szCs w:val="22"/>
              </w:rPr>
              <w:t xml:space="preserve"> euros par mois environ</w:t>
            </w:r>
          </w:p>
          <w:p w:rsidR="002D5F6A" w:rsidRPr="000D32D0" w:rsidRDefault="00B416F6" w:rsidP="00BB18CF">
            <w:pPr>
              <w:rPr>
                <w:rFonts w:ascii="Calibri" w:hAnsi="Calibri"/>
                <w:sz w:val="22"/>
                <w:szCs w:val="22"/>
              </w:rPr>
            </w:pPr>
            <w:r>
              <w:rPr>
                <w:rFonts w:ascii="Calibri" w:hAnsi="Calibri"/>
                <w:sz w:val="22"/>
                <w:szCs w:val="22"/>
              </w:rPr>
              <w:t>Pr</w:t>
            </w:r>
            <w:r w:rsidR="00572EAF" w:rsidRPr="000D32D0">
              <w:rPr>
                <w:rFonts w:ascii="Calibri" w:hAnsi="Calibri"/>
                <w:sz w:val="22"/>
                <w:szCs w:val="22"/>
              </w:rPr>
              <w:t>ise en charge des frais inhérents au travail de terrain (transport, logement)</w:t>
            </w:r>
          </w:p>
          <w:p w:rsidR="002F6294" w:rsidRPr="000D32D0" w:rsidRDefault="00B416F6" w:rsidP="00404EBC">
            <w:pPr>
              <w:rPr>
                <w:rFonts w:ascii="Calibri" w:hAnsi="Calibri"/>
                <w:sz w:val="22"/>
                <w:szCs w:val="22"/>
              </w:rPr>
            </w:pPr>
            <w:r w:rsidRPr="000D32D0">
              <w:rPr>
                <w:rFonts w:ascii="Calibri" w:hAnsi="Calibri"/>
                <w:sz w:val="22"/>
                <w:szCs w:val="22"/>
              </w:rPr>
              <w:lastRenderedPageBreak/>
              <w:t>Structure d’accueil : UMR 1201 Dynafor, INRA</w:t>
            </w:r>
            <w:r>
              <w:rPr>
                <w:rFonts w:ascii="Calibri" w:hAnsi="Calibri"/>
                <w:sz w:val="22"/>
                <w:szCs w:val="22"/>
              </w:rPr>
              <w:t>E. Bureau sur le site d’</w:t>
            </w:r>
            <w:proofErr w:type="spellStart"/>
            <w:r>
              <w:rPr>
                <w:rFonts w:ascii="Calibri" w:hAnsi="Calibri"/>
                <w:sz w:val="22"/>
                <w:szCs w:val="22"/>
              </w:rPr>
              <w:t>Auzeville</w:t>
            </w:r>
            <w:proofErr w:type="spellEnd"/>
            <w:r>
              <w:rPr>
                <w:rFonts w:ascii="Calibri" w:hAnsi="Calibri"/>
                <w:sz w:val="22"/>
                <w:szCs w:val="22"/>
              </w:rPr>
              <w:t>, déplacements à prévoir dans le</w:t>
            </w:r>
            <w:r w:rsidR="00404EBC">
              <w:rPr>
                <w:rFonts w:ascii="Calibri" w:hAnsi="Calibri"/>
                <w:sz w:val="22"/>
                <w:szCs w:val="22"/>
              </w:rPr>
              <w:t xml:space="preserve">s </w:t>
            </w:r>
            <w:r>
              <w:rPr>
                <w:rFonts w:ascii="Calibri" w:hAnsi="Calibri"/>
                <w:sz w:val="22"/>
                <w:szCs w:val="22"/>
              </w:rPr>
              <w:t xml:space="preserve">Pyrénées Ariégeoises. </w:t>
            </w:r>
          </w:p>
        </w:tc>
      </w:tr>
      <w:tr w:rsidR="002D5F6A" w:rsidRPr="000968F2" w:rsidTr="002D5F6A">
        <w:tc>
          <w:tcPr>
            <w:tcW w:w="5000" w:type="pct"/>
          </w:tcPr>
          <w:p w:rsidR="002D5F6A" w:rsidRPr="000D32D0" w:rsidRDefault="002D5F6A" w:rsidP="00BB18CF">
            <w:pPr>
              <w:rPr>
                <w:rFonts w:ascii="Calibri" w:hAnsi="Calibri"/>
                <w:b/>
                <w:sz w:val="22"/>
                <w:szCs w:val="22"/>
              </w:rPr>
            </w:pPr>
            <w:r w:rsidRPr="000D32D0">
              <w:rPr>
                <w:rFonts w:ascii="Calibri" w:hAnsi="Calibri"/>
                <w:b/>
                <w:sz w:val="22"/>
                <w:szCs w:val="22"/>
              </w:rPr>
              <w:lastRenderedPageBreak/>
              <w:t>PROFIL RECHERCHE</w:t>
            </w:r>
          </w:p>
          <w:p w:rsidR="002D5F6A" w:rsidRPr="000D32D0" w:rsidRDefault="00EF5388" w:rsidP="00BB18CF">
            <w:pPr>
              <w:rPr>
                <w:rFonts w:ascii="Calibri" w:hAnsi="Calibri"/>
                <w:sz w:val="22"/>
                <w:szCs w:val="22"/>
              </w:rPr>
            </w:pPr>
            <w:r w:rsidRPr="000D32D0">
              <w:rPr>
                <w:rFonts w:ascii="Calibri" w:hAnsi="Calibri"/>
                <w:sz w:val="22"/>
                <w:szCs w:val="22"/>
              </w:rPr>
              <w:t xml:space="preserve">Master </w:t>
            </w:r>
            <w:r w:rsidR="002D5F6A" w:rsidRPr="000D32D0">
              <w:rPr>
                <w:rFonts w:ascii="Calibri" w:hAnsi="Calibri"/>
                <w:sz w:val="22"/>
                <w:szCs w:val="22"/>
              </w:rPr>
              <w:t xml:space="preserve">2 </w:t>
            </w:r>
            <w:r w:rsidR="00B416F6">
              <w:rPr>
                <w:rFonts w:ascii="Calibri" w:hAnsi="Calibri"/>
                <w:sz w:val="22"/>
                <w:szCs w:val="22"/>
              </w:rPr>
              <w:t xml:space="preserve">Sciences sociales - </w:t>
            </w:r>
            <w:r w:rsidRPr="000D32D0">
              <w:rPr>
                <w:rFonts w:ascii="Calibri" w:hAnsi="Calibri"/>
                <w:sz w:val="22"/>
                <w:szCs w:val="22"/>
              </w:rPr>
              <w:t xml:space="preserve">Géographie / </w:t>
            </w:r>
            <w:r w:rsidR="002D5F6A" w:rsidRPr="000D32D0">
              <w:rPr>
                <w:rFonts w:ascii="Calibri" w:hAnsi="Calibri"/>
                <w:sz w:val="22"/>
                <w:szCs w:val="22"/>
              </w:rPr>
              <w:t>Ethnologie / Soci</w:t>
            </w:r>
            <w:r w:rsidR="007019B7" w:rsidRPr="000D32D0">
              <w:rPr>
                <w:rFonts w:ascii="Calibri" w:hAnsi="Calibri"/>
                <w:sz w:val="22"/>
                <w:szCs w:val="22"/>
              </w:rPr>
              <w:t>ologie</w:t>
            </w:r>
            <w:proofErr w:type="gramStart"/>
            <w:r w:rsidR="00B416F6">
              <w:rPr>
                <w:rFonts w:ascii="Calibri" w:hAnsi="Calibri"/>
                <w:sz w:val="22"/>
                <w:szCs w:val="22"/>
              </w:rPr>
              <w:t>..</w:t>
            </w:r>
            <w:proofErr w:type="gramEnd"/>
            <w:r w:rsidR="00B416F6">
              <w:rPr>
                <w:rFonts w:ascii="Calibri" w:hAnsi="Calibri"/>
                <w:sz w:val="22"/>
                <w:szCs w:val="22"/>
              </w:rPr>
              <w:t xml:space="preserve"> </w:t>
            </w:r>
            <w:r w:rsidR="002D5F6A" w:rsidRPr="000D32D0">
              <w:rPr>
                <w:rFonts w:ascii="Calibri" w:hAnsi="Calibri"/>
                <w:sz w:val="22"/>
                <w:szCs w:val="22"/>
              </w:rPr>
              <w:t>– Intérêt pour la question des interactions sociétés et environnement</w:t>
            </w:r>
          </w:p>
          <w:p w:rsidR="00B416F6" w:rsidRDefault="00B416F6" w:rsidP="00BB18CF">
            <w:pPr>
              <w:rPr>
                <w:rFonts w:ascii="Calibri" w:hAnsi="Calibri"/>
                <w:sz w:val="22"/>
                <w:szCs w:val="22"/>
              </w:rPr>
            </w:pPr>
            <w:r>
              <w:rPr>
                <w:rFonts w:ascii="Calibri" w:hAnsi="Calibri"/>
                <w:sz w:val="22"/>
                <w:szCs w:val="22"/>
              </w:rPr>
              <w:t>Expérience significative de conduite et analyse d’entretiens</w:t>
            </w:r>
          </w:p>
          <w:p w:rsidR="002D5F6A" w:rsidRPr="000D32D0" w:rsidRDefault="002D5F6A" w:rsidP="00BB18CF">
            <w:pPr>
              <w:rPr>
                <w:rFonts w:ascii="Calibri" w:hAnsi="Calibri"/>
                <w:sz w:val="22"/>
                <w:szCs w:val="22"/>
              </w:rPr>
            </w:pPr>
            <w:r w:rsidRPr="000D32D0">
              <w:rPr>
                <w:rFonts w:ascii="Calibri" w:hAnsi="Calibri"/>
                <w:sz w:val="22"/>
                <w:szCs w:val="22"/>
              </w:rPr>
              <w:t>Capacité</w:t>
            </w:r>
            <w:r w:rsidR="00B416F6">
              <w:rPr>
                <w:rFonts w:ascii="Calibri" w:hAnsi="Calibri"/>
                <w:sz w:val="22"/>
                <w:szCs w:val="22"/>
              </w:rPr>
              <w:t>s</w:t>
            </w:r>
            <w:r w:rsidRPr="000D32D0">
              <w:rPr>
                <w:rFonts w:ascii="Calibri" w:hAnsi="Calibri"/>
                <w:sz w:val="22"/>
                <w:szCs w:val="22"/>
              </w:rPr>
              <w:t xml:space="preserve"> rédactionnelle</w:t>
            </w:r>
            <w:r w:rsidR="00B416F6">
              <w:rPr>
                <w:rFonts w:ascii="Calibri" w:hAnsi="Calibri"/>
                <w:sz w:val="22"/>
                <w:szCs w:val="22"/>
              </w:rPr>
              <w:t>s</w:t>
            </w:r>
            <w:r w:rsidRPr="000D32D0">
              <w:rPr>
                <w:rFonts w:ascii="Calibri" w:hAnsi="Calibri"/>
                <w:sz w:val="22"/>
                <w:szCs w:val="22"/>
              </w:rPr>
              <w:t>, bon niveau requis en français et anglais (oral et écrit)</w:t>
            </w:r>
          </w:p>
        </w:tc>
      </w:tr>
      <w:tr w:rsidR="002D5F6A" w:rsidRPr="000968F2" w:rsidTr="002D5F6A">
        <w:tc>
          <w:tcPr>
            <w:tcW w:w="5000" w:type="pct"/>
          </w:tcPr>
          <w:p w:rsidR="002F6294" w:rsidRPr="00B416F6" w:rsidRDefault="00BB18CF" w:rsidP="0053163F">
            <w:pPr>
              <w:rPr>
                <w:rFonts w:ascii="Calibri" w:hAnsi="Calibri"/>
                <w:sz w:val="22"/>
                <w:szCs w:val="22"/>
              </w:rPr>
            </w:pPr>
            <w:r w:rsidRPr="000D32D0">
              <w:rPr>
                <w:rFonts w:ascii="Calibri" w:hAnsi="Calibri"/>
                <w:b/>
                <w:sz w:val="22"/>
                <w:szCs w:val="22"/>
              </w:rPr>
              <w:t>Merci d’envoyer votre</w:t>
            </w:r>
            <w:r w:rsidR="002D5F6A" w:rsidRPr="000D32D0">
              <w:rPr>
                <w:rFonts w:ascii="Calibri" w:hAnsi="Calibri"/>
                <w:b/>
                <w:sz w:val="22"/>
                <w:szCs w:val="22"/>
              </w:rPr>
              <w:t xml:space="preserve"> CV et </w:t>
            </w:r>
            <w:r w:rsidR="00572EAF" w:rsidRPr="000D32D0">
              <w:rPr>
                <w:rFonts w:ascii="Calibri" w:hAnsi="Calibri"/>
                <w:b/>
                <w:sz w:val="22"/>
                <w:szCs w:val="22"/>
              </w:rPr>
              <w:t xml:space="preserve">une </w:t>
            </w:r>
            <w:r w:rsidR="002D5F6A" w:rsidRPr="000D32D0">
              <w:rPr>
                <w:rFonts w:ascii="Calibri" w:hAnsi="Calibri"/>
                <w:b/>
                <w:sz w:val="22"/>
                <w:szCs w:val="22"/>
              </w:rPr>
              <w:t>lettre de motivation</w:t>
            </w:r>
            <w:r w:rsidR="00572EAF" w:rsidRPr="000D32D0">
              <w:rPr>
                <w:rFonts w:ascii="Calibri" w:hAnsi="Calibri"/>
                <w:b/>
                <w:sz w:val="22"/>
                <w:szCs w:val="22"/>
              </w:rPr>
              <w:t xml:space="preserve"> </w:t>
            </w:r>
            <w:r w:rsidR="00D31AD1">
              <w:rPr>
                <w:rFonts w:ascii="Calibri" w:hAnsi="Calibri"/>
                <w:b/>
                <w:sz w:val="22"/>
                <w:szCs w:val="22"/>
                <w:u w:val="single"/>
              </w:rPr>
              <w:t>avant le 15</w:t>
            </w:r>
            <w:r w:rsidR="0053163F">
              <w:rPr>
                <w:rFonts w:ascii="Calibri" w:hAnsi="Calibri"/>
                <w:b/>
                <w:sz w:val="22"/>
                <w:szCs w:val="22"/>
                <w:u w:val="single"/>
              </w:rPr>
              <w:t xml:space="preserve"> </w:t>
            </w:r>
            <w:r w:rsidR="00B416F6">
              <w:rPr>
                <w:rFonts w:ascii="Calibri" w:hAnsi="Calibri"/>
                <w:b/>
                <w:sz w:val="22"/>
                <w:szCs w:val="22"/>
                <w:u w:val="single"/>
              </w:rPr>
              <w:t>décembre 2020</w:t>
            </w:r>
            <w:r w:rsidR="002D5F6A" w:rsidRPr="0053163F">
              <w:rPr>
                <w:rFonts w:ascii="Calibri" w:hAnsi="Calibri"/>
                <w:b/>
                <w:sz w:val="22"/>
                <w:szCs w:val="22"/>
              </w:rPr>
              <w:t> </w:t>
            </w:r>
            <w:r w:rsidR="0053163F" w:rsidRPr="0053163F">
              <w:rPr>
                <w:rFonts w:ascii="Calibri" w:hAnsi="Calibri"/>
                <w:b/>
                <w:sz w:val="22"/>
                <w:szCs w:val="22"/>
              </w:rPr>
              <w:t>à</w:t>
            </w:r>
            <w:r w:rsidR="002D5F6A" w:rsidRPr="000D32D0">
              <w:rPr>
                <w:rFonts w:ascii="Calibri" w:hAnsi="Calibri"/>
                <w:b/>
                <w:sz w:val="22"/>
                <w:szCs w:val="22"/>
              </w:rPr>
              <w:t>:</w:t>
            </w:r>
            <w:r w:rsidR="0053163F">
              <w:rPr>
                <w:rFonts w:ascii="Calibri" w:hAnsi="Calibri"/>
                <w:b/>
                <w:sz w:val="22"/>
                <w:szCs w:val="22"/>
              </w:rPr>
              <w:br/>
            </w:r>
            <w:r w:rsidR="002F6294" w:rsidRPr="00B416F6">
              <w:rPr>
                <w:rFonts w:ascii="Calibri" w:hAnsi="Calibri"/>
                <w:sz w:val="22"/>
                <w:szCs w:val="22"/>
              </w:rPr>
              <w:t xml:space="preserve">Cécile Barnaud – </w:t>
            </w:r>
            <w:hyperlink r:id="rId5" w:history="1">
              <w:r w:rsidR="00B416F6" w:rsidRPr="00A97E98">
                <w:rPr>
                  <w:rStyle w:val="Lienhypertexte"/>
                  <w:rFonts w:ascii="Calibri" w:hAnsi="Calibri"/>
                  <w:sz w:val="22"/>
                  <w:szCs w:val="22"/>
                </w:rPr>
                <w:t>cecile.barnaud@inrae.fr</w:t>
              </w:r>
            </w:hyperlink>
            <w:r w:rsidR="00B416F6">
              <w:rPr>
                <w:rFonts w:ascii="Calibri" w:hAnsi="Calibri"/>
                <w:sz w:val="22"/>
                <w:szCs w:val="22"/>
              </w:rPr>
              <w:t xml:space="preserve"> -</w:t>
            </w:r>
            <w:r w:rsidR="002F6294" w:rsidRPr="00B416F6">
              <w:rPr>
                <w:rFonts w:ascii="Calibri" w:hAnsi="Calibri"/>
                <w:sz w:val="22"/>
                <w:szCs w:val="22"/>
              </w:rPr>
              <w:t xml:space="preserve"> UMR 1201 Dynafor, INRA</w:t>
            </w:r>
            <w:r w:rsidR="00B416F6" w:rsidRPr="00B416F6">
              <w:rPr>
                <w:rFonts w:ascii="Calibri" w:hAnsi="Calibri"/>
                <w:sz w:val="22"/>
                <w:szCs w:val="22"/>
              </w:rPr>
              <w:t>E</w:t>
            </w:r>
            <w:r w:rsidR="002F6294" w:rsidRPr="00B416F6">
              <w:rPr>
                <w:rFonts w:ascii="Calibri" w:hAnsi="Calibri"/>
                <w:sz w:val="22"/>
                <w:szCs w:val="22"/>
              </w:rPr>
              <w:t xml:space="preserve"> Toulouse</w:t>
            </w:r>
          </w:p>
          <w:p w:rsidR="002D5F6A" w:rsidRPr="00B416F6" w:rsidRDefault="00B416F6" w:rsidP="00682F21">
            <w:pPr>
              <w:autoSpaceDE w:val="0"/>
              <w:autoSpaceDN w:val="0"/>
              <w:adjustRightInd w:val="0"/>
              <w:rPr>
                <w:rFonts w:ascii="Calibri-Bold" w:eastAsiaTheme="minorEastAsia" w:hAnsi="Calibri-Bold" w:cs="Calibri-Bold"/>
                <w:b/>
                <w:bCs/>
                <w:color w:val="0000FF"/>
                <w:sz w:val="20"/>
                <w:szCs w:val="20"/>
              </w:rPr>
            </w:pPr>
            <w:r w:rsidRPr="00B416F6">
              <w:rPr>
                <w:rFonts w:ascii="Calibri" w:hAnsi="Calibri"/>
                <w:sz w:val="22"/>
                <w:szCs w:val="22"/>
              </w:rPr>
              <w:t xml:space="preserve">Floriane Clément </w:t>
            </w:r>
            <w:r w:rsidR="00E13784" w:rsidRPr="00B416F6">
              <w:rPr>
                <w:rFonts w:ascii="Calibri" w:hAnsi="Calibri"/>
                <w:sz w:val="22"/>
                <w:szCs w:val="22"/>
              </w:rPr>
              <w:t xml:space="preserve">– </w:t>
            </w:r>
            <w:r w:rsidRPr="00B416F6">
              <w:rPr>
                <w:rStyle w:val="Lienhypertexte"/>
                <w:rFonts w:asciiTheme="majorHAnsi" w:eastAsiaTheme="minorEastAsia" w:hAnsiTheme="majorHAnsi" w:cstheme="majorHAnsi"/>
                <w:sz w:val="22"/>
                <w:szCs w:val="22"/>
              </w:rPr>
              <w:t>floriane.</w:t>
            </w:r>
            <w:r w:rsidR="00682F21" w:rsidRPr="00B416F6">
              <w:rPr>
                <w:rStyle w:val="Lienhypertexte"/>
                <w:rFonts w:asciiTheme="majorHAnsi" w:eastAsiaTheme="minorEastAsia" w:hAnsiTheme="majorHAnsi" w:cstheme="majorHAnsi"/>
                <w:sz w:val="22"/>
                <w:szCs w:val="22"/>
              </w:rPr>
              <w:t>c</w:t>
            </w:r>
            <w:r w:rsidR="00682F21">
              <w:rPr>
                <w:rStyle w:val="Lienhypertexte"/>
                <w:rFonts w:asciiTheme="majorHAnsi" w:eastAsiaTheme="minorEastAsia" w:hAnsiTheme="majorHAnsi" w:cstheme="majorHAnsi"/>
                <w:sz w:val="22"/>
                <w:szCs w:val="22"/>
              </w:rPr>
              <w:t>le</w:t>
            </w:r>
            <w:r w:rsidR="00682F21" w:rsidRPr="00B416F6">
              <w:rPr>
                <w:rStyle w:val="Lienhypertexte"/>
                <w:rFonts w:asciiTheme="majorHAnsi" w:eastAsiaTheme="minorEastAsia" w:hAnsiTheme="majorHAnsi" w:cstheme="majorHAnsi"/>
                <w:sz w:val="22"/>
                <w:szCs w:val="22"/>
              </w:rPr>
              <w:t>ment</w:t>
            </w:r>
            <w:r w:rsidRPr="00B416F6">
              <w:rPr>
                <w:rStyle w:val="Lienhypertexte"/>
                <w:rFonts w:asciiTheme="majorHAnsi" w:eastAsiaTheme="minorEastAsia" w:hAnsiTheme="majorHAnsi" w:cstheme="majorHAnsi"/>
                <w:sz w:val="22"/>
                <w:szCs w:val="22"/>
              </w:rPr>
              <w:t>@inrae.fr</w:t>
            </w:r>
            <w:r>
              <w:rPr>
                <w:rFonts w:ascii="Calibri" w:hAnsi="Calibri"/>
                <w:sz w:val="22"/>
                <w:szCs w:val="22"/>
              </w:rPr>
              <w:t xml:space="preserve"> - </w:t>
            </w:r>
            <w:r w:rsidR="00E13784" w:rsidRPr="00B416F6">
              <w:rPr>
                <w:rFonts w:ascii="Calibri" w:hAnsi="Calibri"/>
                <w:sz w:val="22"/>
                <w:szCs w:val="22"/>
              </w:rPr>
              <w:t xml:space="preserve">UMR </w:t>
            </w:r>
            <w:r w:rsidRPr="00B416F6">
              <w:rPr>
                <w:rFonts w:ascii="Calibri" w:hAnsi="Calibri"/>
                <w:sz w:val="22"/>
                <w:szCs w:val="22"/>
              </w:rPr>
              <w:t>1201</w:t>
            </w:r>
            <w:r w:rsidR="00E13784" w:rsidRPr="00B416F6">
              <w:rPr>
                <w:rFonts w:ascii="Calibri" w:hAnsi="Calibri"/>
                <w:sz w:val="22"/>
                <w:szCs w:val="22"/>
              </w:rPr>
              <w:t xml:space="preserve"> </w:t>
            </w:r>
            <w:r w:rsidRPr="00B416F6">
              <w:rPr>
                <w:rFonts w:ascii="Calibri" w:hAnsi="Calibri"/>
                <w:sz w:val="22"/>
                <w:szCs w:val="22"/>
              </w:rPr>
              <w:t>Dyna</w:t>
            </w:r>
            <w:r>
              <w:rPr>
                <w:rFonts w:ascii="Calibri" w:hAnsi="Calibri"/>
                <w:sz w:val="22"/>
                <w:szCs w:val="22"/>
              </w:rPr>
              <w:t>f</w:t>
            </w:r>
            <w:r w:rsidRPr="00B416F6">
              <w:rPr>
                <w:rFonts w:ascii="Calibri" w:hAnsi="Calibri"/>
                <w:sz w:val="22"/>
                <w:szCs w:val="22"/>
              </w:rPr>
              <w:t>or, INRAE, Toulouse</w:t>
            </w:r>
          </w:p>
        </w:tc>
      </w:tr>
    </w:tbl>
    <w:p w:rsidR="00974970" w:rsidRDefault="00974970" w:rsidP="00404EBC"/>
    <w:sectPr w:rsidR="00974970" w:rsidSect="00B24D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D7782"/>
    <w:multiLevelType w:val="hybridMultilevel"/>
    <w:tmpl w:val="F6583626"/>
    <w:lvl w:ilvl="0" w:tplc="98DCC252">
      <w:start w:val="1"/>
      <w:numFmt w:val="bullet"/>
      <w:lvlText w:val=""/>
      <w:lvlJc w:val="left"/>
      <w:pPr>
        <w:tabs>
          <w:tab w:val="num" w:pos="720"/>
        </w:tabs>
        <w:ind w:left="720" w:hanging="360"/>
      </w:pPr>
      <w:rPr>
        <w:rFonts w:ascii="Wingdings" w:hAnsi="Wingdings" w:hint="default"/>
      </w:rPr>
    </w:lvl>
    <w:lvl w:ilvl="1" w:tplc="351CCF66" w:tentative="1">
      <w:start w:val="1"/>
      <w:numFmt w:val="bullet"/>
      <w:lvlText w:val=""/>
      <w:lvlJc w:val="left"/>
      <w:pPr>
        <w:tabs>
          <w:tab w:val="num" w:pos="1440"/>
        </w:tabs>
        <w:ind w:left="1440" w:hanging="360"/>
      </w:pPr>
      <w:rPr>
        <w:rFonts w:ascii="Wingdings" w:hAnsi="Wingdings" w:hint="default"/>
      </w:rPr>
    </w:lvl>
    <w:lvl w:ilvl="2" w:tplc="FBD85AEE" w:tentative="1">
      <w:start w:val="1"/>
      <w:numFmt w:val="bullet"/>
      <w:lvlText w:val=""/>
      <w:lvlJc w:val="left"/>
      <w:pPr>
        <w:tabs>
          <w:tab w:val="num" w:pos="2160"/>
        </w:tabs>
        <w:ind w:left="2160" w:hanging="360"/>
      </w:pPr>
      <w:rPr>
        <w:rFonts w:ascii="Wingdings" w:hAnsi="Wingdings" w:hint="default"/>
      </w:rPr>
    </w:lvl>
    <w:lvl w:ilvl="3" w:tplc="C22000D8" w:tentative="1">
      <w:start w:val="1"/>
      <w:numFmt w:val="bullet"/>
      <w:lvlText w:val=""/>
      <w:lvlJc w:val="left"/>
      <w:pPr>
        <w:tabs>
          <w:tab w:val="num" w:pos="2880"/>
        </w:tabs>
        <w:ind w:left="2880" w:hanging="360"/>
      </w:pPr>
      <w:rPr>
        <w:rFonts w:ascii="Wingdings" w:hAnsi="Wingdings" w:hint="default"/>
      </w:rPr>
    </w:lvl>
    <w:lvl w:ilvl="4" w:tplc="A86CBE6C" w:tentative="1">
      <w:start w:val="1"/>
      <w:numFmt w:val="bullet"/>
      <w:lvlText w:val=""/>
      <w:lvlJc w:val="left"/>
      <w:pPr>
        <w:tabs>
          <w:tab w:val="num" w:pos="3600"/>
        </w:tabs>
        <w:ind w:left="3600" w:hanging="360"/>
      </w:pPr>
      <w:rPr>
        <w:rFonts w:ascii="Wingdings" w:hAnsi="Wingdings" w:hint="default"/>
      </w:rPr>
    </w:lvl>
    <w:lvl w:ilvl="5" w:tplc="CDE2EA0C" w:tentative="1">
      <w:start w:val="1"/>
      <w:numFmt w:val="bullet"/>
      <w:lvlText w:val=""/>
      <w:lvlJc w:val="left"/>
      <w:pPr>
        <w:tabs>
          <w:tab w:val="num" w:pos="4320"/>
        </w:tabs>
        <w:ind w:left="4320" w:hanging="360"/>
      </w:pPr>
      <w:rPr>
        <w:rFonts w:ascii="Wingdings" w:hAnsi="Wingdings" w:hint="default"/>
      </w:rPr>
    </w:lvl>
    <w:lvl w:ilvl="6" w:tplc="8670F67A" w:tentative="1">
      <w:start w:val="1"/>
      <w:numFmt w:val="bullet"/>
      <w:lvlText w:val=""/>
      <w:lvlJc w:val="left"/>
      <w:pPr>
        <w:tabs>
          <w:tab w:val="num" w:pos="5040"/>
        </w:tabs>
        <w:ind w:left="5040" w:hanging="360"/>
      </w:pPr>
      <w:rPr>
        <w:rFonts w:ascii="Wingdings" w:hAnsi="Wingdings" w:hint="default"/>
      </w:rPr>
    </w:lvl>
    <w:lvl w:ilvl="7" w:tplc="383A6272" w:tentative="1">
      <w:start w:val="1"/>
      <w:numFmt w:val="bullet"/>
      <w:lvlText w:val=""/>
      <w:lvlJc w:val="left"/>
      <w:pPr>
        <w:tabs>
          <w:tab w:val="num" w:pos="5760"/>
        </w:tabs>
        <w:ind w:left="5760" w:hanging="360"/>
      </w:pPr>
      <w:rPr>
        <w:rFonts w:ascii="Wingdings" w:hAnsi="Wingdings" w:hint="default"/>
      </w:rPr>
    </w:lvl>
    <w:lvl w:ilvl="8" w:tplc="20E4204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6A"/>
    <w:rsid w:val="00005D98"/>
    <w:rsid w:val="00014347"/>
    <w:rsid w:val="00022BB0"/>
    <w:rsid w:val="00042BB4"/>
    <w:rsid w:val="000968F2"/>
    <w:rsid w:val="000D32D0"/>
    <w:rsid w:val="00154CE2"/>
    <w:rsid w:val="00166A42"/>
    <w:rsid w:val="001E639A"/>
    <w:rsid w:val="00215A44"/>
    <w:rsid w:val="002D5F6A"/>
    <w:rsid w:val="002F6294"/>
    <w:rsid w:val="00370351"/>
    <w:rsid w:val="00404EBC"/>
    <w:rsid w:val="00417C41"/>
    <w:rsid w:val="0053163F"/>
    <w:rsid w:val="00545015"/>
    <w:rsid w:val="00570EE7"/>
    <w:rsid w:val="00572EAF"/>
    <w:rsid w:val="005A62D3"/>
    <w:rsid w:val="005B68A9"/>
    <w:rsid w:val="00676CE7"/>
    <w:rsid w:val="00682F21"/>
    <w:rsid w:val="006C2395"/>
    <w:rsid w:val="007019B7"/>
    <w:rsid w:val="007844D2"/>
    <w:rsid w:val="00844F53"/>
    <w:rsid w:val="009472B5"/>
    <w:rsid w:val="00974970"/>
    <w:rsid w:val="009A27E7"/>
    <w:rsid w:val="009C1989"/>
    <w:rsid w:val="00A711BB"/>
    <w:rsid w:val="00AB29AC"/>
    <w:rsid w:val="00B243E9"/>
    <w:rsid w:val="00B24D81"/>
    <w:rsid w:val="00B416F6"/>
    <w:rsid w:val="00BB18CF"/>
    <w:rsid w:val="00D31AD1"/>
    <w:rsid w:val="00D81F95"/>
    <w:rsid w:val="00DD6AA6"/>
    <w:rsid w:val="00E13784"/>
    <w:rsid w:val="00E61E73"/>
    <w:rsid w:val="00EF5388"/>
    <w:rsid w:val="00F526CA"/>
    <w:rsid w:val="00F70714"/>
    <w:rsid w:val="00F86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A268F9-B226-4426-9B79-708ED114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6A"/>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D5F6A"/>
    <w:rPr>
      <w:color w:val="0000FF"/>
      <w:u w:val="single"/>
    </w:rPr>
  </w:style>
  <w:style w:type="paragraph" w:customStyle="1" w:styleId="WW-Standard">
    <w:name w:val="WW-Standard"/>
    <w:rsid w:val="002D5F6A"/>
    <w:pPr>
      <w:widowControl w:val="0"/>
      <w:suppressAutoHyphens/>
    </w:pPr>
    <w:rPr>
      <w:rFonts w:ascii="Times New Roman" w:eastAsia="Times New Roman" w:hAnsi="Times New Roman" w:cs="Times New Roman"/>
      <w:kern w:val="1"/>
      <w:sz w:val="20"/>
      <w:szCs w:val="20"/>
      <w:lang w:eastAsia="ar-SA"/>
    </w:rPr>
  </w:style>
  <w:style w:type="paragraph" w:customStyle="1" w:styleId="instructions">
    <w:name w:val="instructions"/>
    <w:basedOn w:val="Normal"/>
    <w:rsid w:val="007019B7"/>
    <w:pPr>
      <w:spacing w:before="120"/>
      <w:jc w:val="both"/>
    </w:pPr>
    <w:rPr>
      <w:i/>
      <w:spacing w:val="-4"/>
      <w:sz w:val="22"/>
      <w:szCs w:val="22"/>
    </w:rPr>
  </w:style>
  <w:style w:type="paragraph" w:styleId="PrformatHTML">
    <w:name w:val="HTML Preformatted"/>
    <w:basedOn w:val="Normal"/>
    <w:link w:val="PrformatHTMLCar"/>
    <w:uiPriority w:val="99"/>
    <w:unhideWhenUsed/>
    <w:rsid w:val="00EF5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F5388"/>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682F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F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6790">
      <w:bodyDiv w:val="1"/>
      <w:marLeft w:val="0"/>
      <w:marRight w:val="0"/>
      <w:marTop w:val="0"/>
      <w:marBottom w:val="0"/>
      <w:divBdr>
        <w:top w:val="none" w:sz="0" w:space="0" w:color="auto"/>
        <w:left w:val="none" w:sz="0" w:space="0" w:color="auto"/>
        <w:bottom w:val="none" w:sz="0" w:space="0" w:color="auto"/>
        <w:right w:val="none" w:sz="0" w:space="0" w:color="auto"/>
      </w:divBdr>
    </w:div>
    <w:div w:id="107735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e.barnaud@inra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Sourdril</dc:creator>
  <cp:lastModifiedBy>cbarnaud</cp:lastModifiedBy>
  <cp:revision>3</cp:revision>
  <dcterms:created xsi:type="dcterms:W3CDTF">2020-11-17T09:58:00Z</dcterms:created>
  <dcterms:modified xsi:type="dcterms:W3CDTF">2020-11-17T11:11:00Z</dcterms:modified>
</cp:coreProperties>
</file>